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B72" w:rsidRPr="00D40BC0" w:rsidRDefault="00690B72" w:rsidP="00690B72">
      <w:pPr>
        <w:pStyle w:val="Papertitle"/>
        <w:framePr w:w="8505" w:h="3969" w:hRule="exact" w:hSpace="170" w:vSpace="170" w:wrap="around" w:hAnchor="margin" w:x="1" w:yAlign="top" w:anchorLock="1"/>
      </w:pPr>
      <w:r>
        <w:t>Identification of the Potential Market Segment of Traditional Medicine Products Based on the Level of Preference, Satisfaction and Risk Perception</w:t>
      </w:r>
    </w:p>
    <w:p w:rsidR="00690B72" w:rsidRDefault="00690B72" w:rsidP="00690B72">
      <w:pPr>
        <w:pStyle w:val="Author"/>
        <w:framePr w:w="8505" w:h="3969" w:hRule="exact" w:hSpace="170" w:vSpace="170" w:wrap="around" w:hAnchor="margin" w:x="1" w:yAlign="top" w:anchorLock="1"/>
      </w:pPr>
      <w:r>
        <w:t>Rizka Zulfikar</w:t>
      </w:r>
    </w:p>
    <w:p w:rsidR="00690B72" w:rsidRDefault="00690B72" w:rsidP="00690B72">
      <w:pPr>
        <w:pStyle w:val="Author"/>
        <w:framePr w:w="8505" w:h="3969" w:hRule="exact" w:hSpace="170" w:vSpace="170" w:wrap="around" w:hAnchor="margin" w:x="1" w:yAlign="top" w:anchorLock="1"/>
      </w:pPr>
      <w:r>
        <w:t>Prihatini Ade Mayvita</w:t>
      </w:r>
    </w:p>
    <w:p w:rsidR="00690B72" w:rsidRDefault="00690B72" w:rsidP="00690B72">
      <w:pPr>
        <w:pStyle w:val="Author"/>
        <w:framePr w:w="8505" w:h="3969" w:hRule="exact" w:hSpace="170" w:vSpace="170" w:wrap="around" w:hAnchor="margin" w:x="1" w:yAlign="top" w:anchorLock="1"/>
      </w:pPr>
      <w:r>
        <w:t xml:space="preserve">Purboyo </w:t>
      </w:r>
    </w:p>
    <w:p w:rsidR="00690B72" w:rsidRDefault="00690B72" w:rsidP="00690B72">
      <w:pPr>
        <w:pStyle w:val="Author"/>
        <w:framePr w:w="8505" w:h="3969" w:hRule="exact" w:hSpace="170" w:vSpace="170" w:wrap="around" w:hAnchor="margin" w:x="1" w:yAlign="top" w:anchorLock="1"/>
      </w:pPr>
      <w:r>
        <w:t>Hj. Farida Yulianti</w:t>
      </w:r>
    </w:p>
    <w:p w:rsidR="00690B72" w:rsidRPr="00D40BC0" w:rsidRDefault="00690B72" w:rsidP="00690B72">
      <w:pPr>
        <w:pStyle w:val="Affiliation"/>
        <w:framePr w:w="8505" w:h="3969" w:hRule="exact" w:hSpace="170" w:vSpace="170" w:wrap="around" w:hAnchor="margin" w:x="1" w:yAlign="top" w:anchorLock="1"/>
      </w:pPr>
      <w:r w:rsidRPr="00690B72">
        <w:t>Universitas Islam Kalimantan MAB, Banjarmasin, Indonesia</w:t>
      </w:r>
    </w:p>
    <w:p w:rsidR="00690B72" w:rsidRPr="00690B72" w:rsidRDefault="00690B72" w:rsidP="00690B72">
      <w:pPr>
        <w:pStyle w:val="Abstract"/>
        <w:framePr w:w="8505" w:hSpace="170" w:wrap="around" w:vAnchor="margin"/>
      </w:pPr>
      <w:r>
        <w:t>ABSTRACT:</w:t>
      </w:r>
      <w:r w:rsidRPr="00690B72">
        <w:t xml:space="preserve"> This study aims to describe the potential market segments of traditional medicine products demographically by measuring the level of preference, satisfaction, and perceptions of community risk. This can be used by traditional medicine product manufacturers to determine the target market. The research was conducted in Banjarmasin starting from October 2018 to March 2019 and the population consisted of the Banjarmasin community, with up to 150 respondents. The sampling method used was purposive sampling, while data was collected using a questionnaire and data editing was carried out. Furthermore, this study uses qualitative - quantitative descriptive analysis and average comparison test. The results of the study found that: (1) Preference level, satisfaction and risk perceptions of the Banjarmasin community in terms of traditional medicine products were fairly good because the respondents' evaluations were in the middle category; (2) the potential demographic segment is used as a target market for green products, namely, the female gender, ages between 21-30 years, occupation comprising Government employees and Students, income between Rp. 1 - Rp. 4.9 Million, and education level from elementary to undergraduate. </w:t>
      </w:r>
    </w:p>
    <w:p w:rsidR="00690B72" w:rsidRPr="00D40BC0" w:rsidRDefault="00690B72" w:rsidP="00690B72">
      <w:pPr>
        <w:pStyle w:val="Abstract"/>
        <w:framePr w:w="8505" w:hSpace="170" w:wrap="around" w:vAnchor="margin"/>
        <w:sectPr w:rsidR="00690B72" w:rsidRPr="00D40BC0" w:rsidSect="00690B72">
          <w:headerReference w:type="even" r:id="rId7"/>
          <w:headerReference w:type="default" r:id="rId8"/>
          <w:footerReference w:type="even" r:id="rId9"/>
          <w:footerReference w:type="default" r:id="rId10"/>
          <w:headerReference w:type="first" r:id="rId11"/>
          <w:footerReference w:type="first" r:id="rId12"/>
          <w:pgSz w:w="11907" w:h="16840" w:code="9"/>
          <w:pgMar w:top="1418" w:right="1701" w:bottom="1701" w:left="1701" w:header="0" w:footer="0" w:gutter="0"/>
          <w:cols w:space="397"/>
          <w:noEndnote/>
        </w:sectPr>
      </w:pPr>
    </w:p>
    <w:p w:rsidR="00690B72" w:rsidRPr="00690B72" w:rsidRDefault="00690B72" w:rsidP="00690B72">
      <w:pPr>
        <w:pStyle w:val="Heading1"/>
      </w:pPr>
      <w:r>
        <w:t xml:space="preserve">1. </w:t>
      </w:r>
      <w:r w:rsidRPr="00690B72">
        <w:t>INTRODUCTION</w:t>
      </w:r>
    </w:p>
    <w:p w:rsidR="00690B72" w:rsidRPr="00690B72" w:rsidRDefault="00690B72" w:rsidP="00690B72">
      <w:pPr>
        <w:widowControl w:val="0"/>
        <w:spacing w:line="-240" w:lineRule="auto"/>
        <w:ind w:firstLine="0"/>
      </w:pPr>
      <w:r w:rsidRPr="00690B72">
        <w:t>Some of the green products currently being developed are the products in the traditional medicine sector (TM) which consists of herbal products, standardized traditional medicines, and phytopharmaca. This is one of the mainstay sectors driving the Indonesian economy. Data from the Indonesia BPOM (National Agency of Drug and Food Control) shows that there are at least 751 businesses that produce traditional medicines and 626 of them are middle, small and micro enterprises (MSMEs) (BPOM-RI, 2018). Based on data from health research in 2017, almost half (49.53%) of the Indonesian population are in the age group of 15 years and above, while the proportion that consumes herbal medicine daily is 4.36%, and the rest (4</w:t>
      </w:r>
      <w:r w:rsidR="002B1A68">
        <w:t xml:space="preserve">5.17%) consume it occasionally </w:t>
      </w:r>
      <w:r w:rsidRPr="00690B72">
        <w:t xml:space="preserve">(BPOM-RI, 2018). </w:t>
      </w:r>
    </w:p>
    <w:p w:rsidR="00690B72" w:rsidRPr="00690B72" w:rsidRDefault="00690B72" w:rsidP="00690B72">
      <w:pPr>
        <w:widowControl w:val="0"/>
        <w:spacing w:line="-240" w:lineRule="auto"/>
      </w:pPr>
      <w:r w:rsidRPr="00690B72">
        <w:t>In order to further develop products in the traditional medicine sector, this study was conducted to determine the potential market segments of green products by measuring the level of preference, satisfaction and public risk perceptions which can then be used by the product developers for marketing policies. Based on this background, the problem statement was developed as follows:</w:t>
      </w:r>
    </w:p>
    <w:p w:rsidR="00690B72" w:rsidRPr="00055212" w:rsidRDefault="00690B72" w:rsidP="00055212">
      <w:pPr>
        <w:pStyle w:val="Firstparagraph"/>
        <w:numPr>
          <w:ilvl w:val="0"/>
          <w:numId w:val="4"/>
        </w:numPr>
        <w:ind w:left="283" w:hanging="283"/>
      </w:pPr>
      <w:r w:rsidRPr="00055212">
        <w:t>What are preferences, satisfaction and risk perceptions levels of the Banjarmasin community on traditional medicine products demographically?</w:t>
      </w:r>
    </w:p>
    <w:p w:rsidR="00690B72" w:rsidRPr="00055212" w:rsidRDefault="00690B72" w:rsidP="00055212">
      <w:pPr>
        <w:pStyle w:val="Firstparagraph"/>
        <w:numPr>
          <w:ilvl w:val="0"/>
          <w:numId w:val="4"/>
        </w:numPr>
        <w:ind w:left="283" w:hanging="283"/>
      </w:pPr>
      <w:r w:rsidRPr="00055212">
        <w:t>What are the potential segments of traditional medicine consumers?</w:t>
      </w:r>
    </w:p>
    <w:p w:rsidR="00690B72" w:rsidRPr="00055212" w:rsidRDefault="00055212" w:rsidP="00055212">
      <w:pPr>
        <w:pStyle w:val="Heading1"/>
      </w:pPr>
      <w:r w:rsidRPr="00055212">
        <w:lastRenderedPageBreak/>
        <w:t xml:space="preserve">2. </w:t>
      </w:r>
      <w:r w:rsidR="00690B72" w:rsidRPr="00055212">
        <w:t>LITERATURE REVIEW</w:t>
      </w:r>
    </w:p>
    <w:p w:rsidR="00690B72" w:rsidRPr="00055212" w:rsidRDefault="00690B72" w:rsidP="00055212">
      <w:pPr>
        <w:pStyle w:val="Firstparagraph"/>
      </w:pPr>
      <w:r w:rsidRPr="00055212">
        <w:t xml:space="preserve">Marketing segmentation is an attempt to divide the market into groups that can be distinguished from each other in terms of needs, characteristics, or behavior which might require certain products and marketing strategies to reach them (Kotler and Armstrong, 2012). </w:t>
      </w:r>
    </w:p>
    <w:p w:rsidR="00690B72" w:rsidRPr="00055212" w:rsidRDefault="00690B72" w:rsidP="00055212">
      <w:pPr>
        <w:pStyle w:val="BodyTextIndent"/>
        <w:rPr>
          <w:b w:val="0"/>
        </w:rPr>
      </w:pPr>
      <w:r w:rsidRPr="00055212">
        <w:rPr>
          <w:b w:val="0"/>
        </w:rPr>
        <w:t>Factors such as gender, age, income level and type of work influence the satisfaction of green products in order to increase their buying interest (Schiffman and Kanuk, 2008; Hamzan and Bayu, 2013).</w:t>
      </w:r>
    </w:p>
    <w:p w:rsidR="00690B72" w:rsidRPr="00055212" w:rsidRDefault="00690B72" w:rsidP="00055212">
      <w:pPr>
        <w:pStyle w:val="Firstparagraph"/>
        <w:numPr>
          <w:ilvl w:val="0"/>
          <w:numId w:val="5"/>
        </w:numPr>
        <w:ind w:left="283" w:hanging="283"/>
      </w:pPr>
      <w:r w:rsidRPr="00055212">
        <w:t>Gender factors: Women tend to be more positive towards green products than men (Lee, 2009; Zulfikar, 2017) and the purchase behavior of these products is a more relevant concept for women because they tend to have a greater concern for environmental issues (Lee, 2009, Zulfikar, 2018).</w:t>
      </w:r>
    </w:p>
    <w:p w:rsidR="00690B72" w:rsidRPr="00055212" w:rsidRDefault="00690B72" w:rsidP="00055212">
      <w:pPr>
        <w:pStyle w:val="Firstparagraph"/>
        <w:numPr>
          <w:ilvl w:val="0"/>
          <w:numId w:val="5"/>
        </w:numPr>
        <w:ind w:left="283" w:hanging="283"/>
      </w:pPr>
      <w:r w:rsidRPr="00055212">
        <w:t xml:space="preserve">Age factor: The buying behavior of the age group 18 to 24 uses the information contained in a product to make purchases, while there is a significant indication that information on a product greatly influences the purchase behavior of those between 25 to 44 years (Dumanovsky et al, 2010, Zulfikar, 2017). </w:t>
      </w:r>
    </w:p>
    <w:p w:rsidR="00690B72" w:rsidRPr="00055212" w:rsidRDefault="00690B72" w:rsidP="00055212">
      <w:pPr>
        <w:pStyle w:val="Firstparagraph"/>
        <w:numPr>
          <w:ilvl w:val="0"/>
          <w:numId w:val="5"/>
        </w:numPr>
        <w:ind w:left="283" w:hanging="283"/>
      </w:pPr>
      <w:r w:rsidRPr="00055212">
        <w:t>Occupation: Consumers who have certain types of work generally consume different items compared to those with other types of work (Kasali, 2007).</w:t>
      </w:r>
    </w:p>
    <w:p w:rsidR="00690B72" w:rsidRPr="00055212" w:rsidRDefault="00690B72" w:rsidP="00055212">
      <w:pPr>
        <w:pStyle w:val="Firstparagraph"/>
        <w:numPr>
          <w:ilvl w:val="0"/>
          <w:numId w:val="5"/>
        </w:numPr>
        <w:ind w:left="283" w:hanging="283"/>
      </w:pPr>
      <w:r w:rsidRPr="00055212">
        <w:t>Income Level Factors: Income levels significantly influence the satisfaction of green products and are the most dominant variable in influencing purchasing decisions (Samin et al, 2013; Hamzan, 2013; and Girard, 2010).</w:t>
      </w:r>
    </w:p>
    <w:p w:rsidR="00690B72" w:rsidRPr="00055212" w:rsidRDefault="00690B72" w:rsidP="00055212">
      <w:pPr>
        <w:pStyle w:val="Firstparagraph"/>
        <w:numPr>
          <w:ilvl w:val="0"/>
          <w:numId w:val="5"/>
        </w:numPr>
        <w:ind w:left="283" w:hanging="283"/>
      </w:pPr>
      <w:r w:rsidRPr="00055212">
        <w:t>Education Level Factors: Tsakiridou (2012) found that the level of education had a significant effect on the purchase of green products for consumers in Malaysia because better understanding and knowledge come with a good level of education, and these become the basis for consideration in purchasing green products. This is in line with the opinion expressed by Kim and Seock (2009) that knowledge has an important role in attitudes of consumer acceptance because those with knowledge of environmental issues and product benefits tend to prefer these products even though the price is relatively expensive.</w:t>
      </w:r>
    </w:p>
    <w:p w:rsidR="00690B72" w:rsidRPr="00055212" w:rsidRDefault="00690B72" w:rsidP="00055212">
      <w:pPr>
        <w:pStyle w:val="Firstparagraph"/>
      </w:pPr>
      <w:r w:rsidRPr="00055212">
        <w:t xml:space="preserve">However, there are also some findings that are contrary to such prior research, for instance, gender differences do not mediate knowledge variables in influencing consumer satisfaction and even though there is a tendency for knowledge, consumers prefer green products to others (Aryanti et al., 2014). Contributions of age, education, occupation, income, and family size variables are not significant to purchasing decisions and are likely influenced by other variables (Yahya, 2011). </w:t>
      </w:r>
    </w:p>
    <w:p w:rsidR="00690B72" w:rsidRPr="00055212" w:rsidRDefault="00055212" w:rsidP="00055212">
      <w:pPr>
        <w:pStyle w:val="Heading1"/>
      </w:pPr>
      <w:r w:rsidRPr="00055212">
        <w:t xml:space="preserve">3. </w:t>
      </w:r>
      <w:r w:rsidR="00690B72" w:rsidRPr="00055212">
        <w:t>RESEARCH METHODS</w:t>
      </w:r>
    </w:p>
    <w:p w:rsidR="00690B72" w:rsidRPr="00055212" w:rsidRDefault="00690B72" w:rsidP="00055212">
      <w:pPr>
        <w:pStyle w:val="Firstparagraph"/>
      </w:pPr>
      <w:r w:rsidRPr="00055212">
        <w:t>As a survey research, the population and sample comprises the Banjarmasin people and 150 respondents, respectively. This research uses data analysis techniques such as (1) descriptive qualitative-quantitative analysis, (2) descriptive analysis - variable categorization and (3) comparing Means test.</w:t>
      </w:r>
    </w:p>
    <w:p w:rsidR="00690B72" w:rsidRPr="00055212" w:rsidRDefault="00055212" w:rsidP="00055212">
      <w:pPr>
        <w:pStyle w:val="Heading1"/>
        <w:spacing w:after="0"/>
      </w:pPr>
      <w:r w:rsidRPr="00055212">
        <w:t xml:space="preserve">4. </w:t>
      </w:r>
      <w:r w:rsidR="00690B72" w:rsidRPr="00055212">
        <w:t>RESULTS AND DISCUSSION</w:t>
      </w:r>
    </w:p>
    <w:p w:rsidR="00690B72" w:rsidRPr="00055212" w:rsidRDefault="00055212" w:rsidP="00055212">
      <w:pPr>
        <w:pStyle w:val="Heading2"/>
        <w:spacing w:before="120"/>
      </w:pPr>
      <w:r w:rsidRPr="00055212">
        <w:rPr>
          <w:i w:val="0"/>
        </w:rPr>
        <w:t>4</w:t>
      </w:r>
      <w:r w:rsidR="00690B72" w:rsidRPr="00055212">
        <w:rPr>
          <w:i w:val="0"/>
        </w:rPr>
        <w:t>.1.</w:t>
      </w:r>
      <w:r w:rsidR="00690B72" w:rsidRPr="00055212">
        <w:t xml:space="preserve"> Characteristics of Respondents</w:t>
      </w:r>
    </w:p>
    <w:p w:rsidR="00690B72" w:rsidRPr="00055212" w:rsidRDefault="00690B72" w:rsidP="00055212">
      <w:pPr>
        <w:pStyle w:val="Paragraphafterheading"/>
        <w:widowControl w:val="0"/>
        <w:spacing w:line="-240" w:lineRule="auto"/>
      </w:pPr>
      <w:r w:rsidRPr="00055212">
        <w:t>The characteristics of the respondents used in the study are presented in table 1 below:</w:t>
      </w:r>
    </w:p>
    <w:p w:rsidR="00690B72" w:rsidRPr="00055212" w:rsidRDefault="00690B72" w:rsidP="002B1A68">
      <w:pPr>
        <w:pStyle w:val="Tablecaption"/>
        <w:ind w:firstLine="450"/>
      </w:pPr>
      <w:r w:rsidRPr="00055212">
        <w:t>Table 1. Characteristics of Respondents</w:t>
      </w:r>
    </w:p>
    <w:tbl>
      <w:tblPr>
        <w:tblStyle w:val="LightList-Accent113"/>
        <w:tblW w:w="4260" w:type="dxa"/>
        <w:tblInd w:w="108" w:type="dxa"/>
        <w:tblLayout w:type="fixed"/>
        <w:tblLook w:val="04A0" w:firstRow="1" w:lastRow="0" w:firstColumn="1" w:lastColumn="0" w:noHBand="0" w:noVBand="1"/>
      </w:tblPr>
      <w:tblGrid>
        <w:gridCol w:w="1419"/>
        <w:gridCol w:w="426"/>
        <w:gridCol w:w="426"/>
        <w:gridCol w:w="1136"/>
        <w:gridCol w:w="427"/>
        <w:gridCol w:w="426"/>
      </w:tblGrid>
      <w:tr w:rsidR="00690B72" w:rsidRPr="00055212" w:rsidTr="00690B72">
        <w:trPr>
          <w:cnfStyle w:val="100000000000" w:firstRow="1" w:lastRow="0" w:firstColumn="0" w:lastColumn="0" w:oddVBand="0" w:evenVBand="0" w:oddHBand="0" w:evenHBand="0" w:firstRowFirstColumn="0" w:firstRowLastColumn="0" w:lastRowFirstColumn="0" w:lastRowLastColumn="0"/>
          <w:trHeight w:hRule="exact" w:val="211"/>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90B72" w:rsidRPr="00055212" w:rsidRDefault="00690B72" w:rsidP="00055212">
            <w:pPr>
              <w:pStyle w:val="Tabletext"/>
              <w:rPr>
                <w:b w:val="0"/>
                <w:bCs w:val="0"/>
                <w:color w:val="auto"/>
                <w:lang w:val="en-US" w:eastAsia="en-US"/>
              </w:rPr>
            </w:pPr>
            <w:r w:rsidRPr="00055212">
              <w:rPr>
                <w:b w:val="0"/>
                <w:color w:val="auto"/>
                <w:lang w:val="en-US" w:eastAsia="en-US"/>
              </w:rPr>
              <w:t>Demographics Factor</w:t>
            </w:r>
          </w:p>
        </w:tc>
        <w:tc>
          <w:tcPr>
            <w:tcW w:w="850"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hideMark/>
          </w:tcPr>
          <w:p w:rsidR="00690B72" w:rsidRPr="00055212" w:rsidRDefault="00690B72" w:rsidP="00055212">
            <w:pPr>
              <w:pStyle w:val="Tabletext"/>
              <w:cnfStyle w:val="100000000000" w:firstRow="1" w:lastRow="0" w:firstColumn="0" w:lastColumn="0" w:oddVBand="0" w:evenVBand="0" w:oddHBand="0" w:evenHBand="0" w:firstRowFirstColumn="0" w:firstRowLastColumn="0" w:lastRowFirstColumn="0" w:lastRowLastColumn="0"/>
              <w:rPr>
                <w:b w:val="0"/>
                <w:color w:val="auto"/>
                <w:lang w:val="en-US" w:eastAsia="en-US"/>
              </w:rPr>
            </w:pPr>
            <w:r w:rsidRPr="00055212">
              <w:rPr>
                <w:b w:val="0"/>
                <w:color w:val="auto"/>
                <w:lang w:val="en-US" w:eastAsia="en-US"/>
              </w:rPr>
              <w:t>Respondents</w:t>
            </w:r>
          </w:p>
        </w:tc>
        <w:tc>
          <w:tcPr>
            <w:tcW w:w="1134" w:type="dxa"/>
            <w:vMerge w:val="restart"/>
            <w:tcBorders>
              <w:top w:val="single" w:sz="12" w:space="0" w:color="auto"/>
              <w:left w:val="single" w:sz="4" w:space="0" w:color="auto"/>
              <w:bottom w:val="single" w:sz="12" w:space="0" w:color="auto"/>
              <w:right w:val="single" w:sz="4" w:space="0" w:color="auto"/>
            </w:tcBorders>
            <w:shd w:val="clear" w:color="auto" w:fill="D9D9D9" w:themeFill="background1" w:themeFillShade="D9"/>
            <w:hideMark/>
          </w:tcPr>
          <w:p w:rsidR="00690B72" w:rsidRPr="00055212" w:rsidRDefault="00690B72" w:rsidP="00055212">
            <w:pPr>
              <w:pStyle w:val="Tabletext"/>
              <w:cnfStyle w:val="100000000000" w:firstRow="1" w:lastRow="0" w:firstColumn="0" w:lastColumn="0" w:oddVBand="0" w:evenVBand="0" w:oddHBand="0" w:evenHBand="0" w:firstRowFirstColumn="0" w:firstRowLastColumn="0" w:lastRowFirstColumn="0" w:lastRowLastColumn="0"/>
              <w:rPr>
                <w:b w:val="0"/>
                <w:color w:val="auto"/>
                <w:lang w:val="en-US" w:eastAsia="en-US"/>
              </w:rPr>
            </w:pPr>
            <w:r w:rsidRPr="00055212">
              <w:rPr>
                <w:b w:val="0"/>
                <w:color w:val="auto"/>
                <w:lang w:val="en-US" w:eastAsia="en-US"/>
              </w:rPr>
              <w:t>Demographics Factor</w:t>
            </w:r>
          </w:p>
          <w:p w:rsidR="00690B72" w:rsidRPr="00055212" w:rsidRDefault="00690B72" w:rsidP="00055212">
            <w:pPr>
              <w:pStyle w:val="Tabletext"/>
              <w:cnfStyle w:val="100000000000" w:firstRow="1" w:lastRow="0" w:firstColumn="0" w:lastColumn="0" w:oddVBand="0" w:evenVBand="0" w:oddHBand="0" w:evenHBand="0" w:firstRowFirstColumn="0" w:firstRowLastColumn="0" w:lastRowFirstColumn="0" w:lastRowLastColumn="0"/>
              <w:rPr>
                <w:b w:val="0"/>
                <w:bCs w:val="0"/>
                <w:color w:val="auto"/>
                <w:lang w:val="en-US" w:eastAsia="en-US"/>
              </w:rPr>
            </w:pPr>
            <w:r w:rsidRPr="00055212">
              <w:rPr>
                <w:b w:val="0"/>
                <w:color w:val="auto"/>
                <w:lang w:val="en-US" w:eastAsia="en-US"/>
              </w:rPr>
              <w:t>Freq</w:t>
            </w:r>
          </w:p>
        </w:tc>
        <w:tc>
          <w:tcPr>
            <w:tcW w:w="851"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hideMark/>
          </w:tcPr>
          <w:p w:rsidR="00690B72" w:rsidRPr="00055212" w:rsidRDefault="00690B72" w:rsidP="00055212">
            <w:pPr>
              <w:pStyle w:val="Tabletext"/>
              <w:cnfStyle w:val="100000000000" w:firstRow="1" w:lastRow="0" w:firstColumn="0" w:lastColumn="0" w:oddVBand="0" w:evenVBand="0" w:oddHBand="0" w:evenHBand="0" w:firstRowFirstColumn="0" w:firstRowLastColumn="0" w:lastRowFirstColumn="0" w:lastRowLastColumn="0"/>
              <w:rPr>
                <w:b w:val="0"/>
                <w:color w:val="auto"/>
                <w:lang w:val="en-US" w:eastAsia="en-US"/>
              </w:rPr>
            </w:pPr>
            <w:r w:rsidRPr="00055212">
              <w:rPr>
                <w:b w:val="0"/>
                <w:color w:val="auto"/>
                <w:lang w:val="en-US" w:eastAsia="en-US"/>
              </w:rPr>
              <w:t>Respondents</w:t>
            </w:r>
          </w:p>
          <w:p w:rsidR="00690B72" w:rsidRPr="00055212" w:rsidRDefault="00690B72" w:rsidP="00055212">
            <w:pPr>
              <w:pStyle w:val="Tabletext"/>
              <w:cnfStyle w:val="100000000000" w:firstRow="1" w:lastRow="0" w:firstColumn="0" w:lastColumn="0" w:oddVBand="0" w:evenVBand="0" w:oddHBand="0" w:evenHBand="0" w:firstRowFirstColumn="0" w:firstRowLastColumn="0" w:lastRowFirstColumn="0" w:lastRowLastColumn="0"/>
              <w:rPr>
                <w:b w:val="0"/>
                <w:bCs w:val="0"/>
                <w:color w:val="auto"/>
                <w:lang w:val="en-US" w:eastAsia="en-US"/>
              </w:rPr>
            </w:pPr>
            <w:r w:rsidRPr="00055212">
              <w:rPr>
                <w:b w:val="0"/>
                <w:color w:val="auto"/>
                <w:lang w:val="en-US" w:eastAsia="en-US"/>
              </w:rPr>
              <w:t>Demographics Factor</w:t>
            </w:r>
          </w:p>
        </w:tc>
      </w:tr>
      <w:tr w:rsidR="00690B72" w:rsidRPr="00055212" w:rsidTr="00690B72">
        <w:trPr>
          <w:trHeight w:hRule="exact" w:val="215"/>
        </w:trPr>
        <w:tc>
          <w:tcPr>
            <w:cnfStyle w:val="001000000000" w:firstRow="0" w:lastRow="0" w:firstColumn="1" w:lastColumn="0" w:oddVBand="0" w:evenVBand="0" w:oddHBand="0" w:evenHBand="0" w:firstRowFirstColumn="0" w:firstRowLastColumn="0" w:lastRowFirstColumn="0" w:lastRowLastColumn="0"/>
            <w:tcW w:w="1418" w:type="dxa"/>
            <w:vMerge/>
            <w:tcBorders>
              <w:top w:val="single" w:sz="12" w:space="0" w:color="auto"/>
              <w:left w:val="single" w:sz="12" w:space="0" w:color="auto"/>
              <w:bottom w:val="single" w:sz="12" w:space="0" w:color="auto"/>
              <w:right w:val="single" w:sz="12" w:space="0" w:color="auto"/>
            </w:tcBorders>
            <w:vAlign w:val="center"/>
            <w:hideMark/>
          </w:tcPr>
          <w:p w:rsidR="00690B72" w:rsidRPr="00055212" w:rsidRDefault="00690B72" w:rsidP="00055212">
            <w:pPr>
              <w:pStyle w:val="Tabletext"/>
              <w:rPr>
                <w:b w:val="0"/>
                <w:lang w:val="en-US" w:eastAsia="en-US"/>
              </w:rPr>
            </w:pPr>
          </w:p>
        </w:tc>
        <w:tc>
          <w:tcPr>
            <w:tcW w:w="425" w:type="dxa"/>
            <w:tcBorders>
              <w:top w:val="single" w:sz="4" w:space="0" w:color="auto"/>
              <w:left w:val="single" w:sz="4" w:space="0" w:color="auto"/>
              <w:bottom w:val="single" w:sz="12" w:space="0" w:color="auto"/>
              <w:right w:val="single" w:sz="4" w:space="0" w:color="auto"/>
            </w:tcBorders>
            <w:shd w:val="clear" w:color="auto" w:fill="D9D9D9" w:themeFill="background1" w:themeFillShade="D9"/>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Freq</w:t>
            </w:r>
          </w:p>
        </w:tc>
        <w:tc>
          <w:tcPr>
            <w:tcW w:w="425" w:type="dxa"/>
            <w:tcBorders>
              <w:top w:val="single" w:sz="4" w:space="0" w:color="auto"/>
              <w:left w:val="single" w:sz="4" w:space="0" w:color="auto"/>
              <w:bottom w:val="single" w:sz="12" w:space="0" w:color="auto"/>
              <w:right w:val="single" w:sz="12" w:space="0" w:color="auto"/>
            </w:tcBorders>
            <w:shd w:val="clear" w:color="auto" w:fill="D9D9D9" w:themeFill="background1" w:themeFillShade="D9"/>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w:t>
            </w:r>
          </w:p>
        </w:tc>
        <w:tc>
          <w:tcPr>
            <w:tcW w:w="1134" w:type="dxa"/>
            <w:vMerge/>
            <w:tcBorders>
              <w:top w:val="single" w:sz="12" w:space="0" w:color="auto"/>
              <w:left w:val="single" w:sz="4" w:space="0" w:color="auto"/>
              <w:bottom w:val="single" w:sz="12" w:space="0" w:color="auto"/>
              <w:right w:val="single" w:sz="4" w:space="0" w:color="auto"/>
            </w:tcBorders>
            <w:vAlign w:val="center"/>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p>
        </w:tc>
        <w:tc>
          <w:tcPr>
            <w:tcW w:w="426" w:type="dxa"/>
            <w:tcBorders>
              <w:top w:val="single" w:sz="4" w:space="0" w:color="auto"/>
              <w:left w:val="single" w:sz="4" w:space="0" w:color="auto"/>
              <w:bottom w:val="single" w:sz="12" w:space="0" w:color="auto"/>
              <w:right w:val="single" w:sz="4" w:space="0" w:color="auto"/>
            </w:tcBorders>
            <w:shd w:val="clear" w:color="auto" w:fill="D9D9D9" w:themeFill="background1" w:themeFillShade="D9"/>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Freq</w:t>
            </w:r>
          </w:p>
        </w:tc>
        <w:tc>
          <w:tcPr>
            <w:tcW w:w="425" w:type="dxa"/>
            <w:tcBorders>
              <w:top w:val="single" w:sz="4" w:space="0" w:color="auto"/>
              <w:left w:val="single" w:sz="4" w:space="0" w:color="auto"/>
              <w:bottom w:val="single" w:sz="12" w:space="0" w:color="auto"/>
              <w:right w:val="single" w:sz="12" w:space="0" w:color="auto"/>
            </w:tcBorders>
            <w:shd w:val="clear" w:color="auto" w:fill="D9D9D9" w:themeFill="background1" w:themeFillShade="D9"/>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w:t>
            </w:r>
          </w:p>
        </w:tc>
      </w:tr>
      <w:tr w:rsidR="00690B72" w:rsidRPr="00055212" w:rsidTr="00690B72">
        <w:trPr>
          <w:trHeight w:hRule="exact" w:val="272"/>
        </w:trPr>
        <w:tc>
          <w:tcPr>
            <w:cnfStyle w:val="001000000000" w:firstRow="0" w:lastRow="0" w:firstColumn="1" w:lastColumn="0" w:oddVBand="0" w:evenVBand="0" w:oddHBand="0" w:evenHBand="0" w:firstRowFirstColumn="0" w:firstRowLastColumn="0" w:lastRowFirstColumn="0" w:lastRowLastColumn="0"/>
            <w:tcW w:w="1418" w:type="dxa"/>
            <w:tcBorders>
              <w:top w:val="single" w:sz="12" w:space="0" w:color="auto"/>
              <w:left w:val="single" w:sz="12" w:space="0" w:color="auto"/>
              <w:bottom w:val="nil"/>
              <w:right w:val="single" w:sz="12" w:space="0" w:color="auto"/>
            </w:tcBorders>
            <w:hideMark/>
          </w:tcPr>
          <w:p w:rsidR="00690B72" w:rsidRPr="00055212" w:rsidRDefault="00690B72" w:rsidP="00055212">
            <w:pPr>
              <w:pStyle w:val="Tabletext"/>
              <w:rPr>
                <w:b w:val="0"/>
                <w:lang w:val="en-US" w:eastAsia="en-US"/>
              </w:rPr>
            </w:pPr>
            <w:r w:rsidRPr="00055212">
              <w:rPr>
                <w:b w:val="0"/>
                <w:lang w:val="en-US" w:eastAsia="en-US"/>
              </w:rPr>
              <w:t>Gender</w:t>
            </w:r>
          </w:p>
        </w:tc>
        <w:tc>
          <w:tcPr>
            <w:tcW w:w="425" w:type="dxa"/>
            <w:tcBorders>
              <w:top w:val="single" w:sz="12" w:space="0" w:color="auto"/>
              <w:left w:val="single" w:sz="4" w:space="0" w:color="auto"/>
              <w:bottom w:val="nil"/>
              <w:right w:val="single" w:sz="4" w:space="0" w:color="auto"/>
            </w:tcBorders>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p>
        </w:tc>
        <w:tc>
          <w:tcPr>
            <w:tcW w:w="425" w:type="dxa"/>
            <w:tcBorders>
              <w:top w:val="single" w:sz="12" w:space="0" w:color="auto"/>
              <w:left w:val="single" w:sz="4" w:space="0" w:color="auto"/>
              <w:bottom w:val="nil"/>
              <w:right w:val="single" w:sz="12" w:space="0" w:color="auto"/>
            </w:tcBorders>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p>
        </w:tc>
        <w:tc>
          <w:tcPr>
            <w:tcW w:w="1134" w:type="dxa"/>
            <w:tcBorders>
              <w:top w:val="single" w:sz="12" w:space="0" w:color="auto"/>
              <w:left w:val="single" w:sz="4" w:space="0" w:color="auto"/>
              <w:bottom w:val="nil"/>
              <w:right w:val="single" w:sz="4"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Entrepreneur</w:t>
            </w:r>
          </w:p>
        </w:tc>
        <w:tc>
          <w:tcPr>
            <w:tcW w:w="426" w:type="dxa"/>
            <w:tcBorders>
              <w:top w:val="single" w:sz="12" w:space="0" w:color="auto"/>
              <w:left w:val="single" w:sz="4" w:space="0" w:color="auto"/>
              <w:bottom w:val="nil"/>
              <w:right w:val="single" w:sz="4"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32</w:t>
            </w:r>
          </w:p>
        </w:tc>
        <w:tc>
          <w:tcPr>
            <w:tcW w:w="425" w:type="dxa"/>
            <w:tcBorders>
              <w:top w:val="single" w:sz="12" w:space="0" w:color="auto"/>
              <w:left w:val="single" w:sz="4" w:space="0" w:color="auto"/>
              <w:bottom w:val="nil"/>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21</w:t>
            </w:r>
          </w:p>
        </w:tc>
      </w:tr>
      <w:tr w:rsidR="00690B72" w:rsidRPr="00055212" w:rsidTr="00690B72">
        <w:trPr>
          <w:trHeight w:hRule="exact" w:val="186"/>
        </w:trPr>
        <w:tc>
          <w:tcPr>
            <w:cnfStyle w:val="001000000000" w:firstRow="0" w:lastRow="0" w:firstColumn="1" w:lastColumn="0" w:oddVBand="0" w:evenVBand="0" w:oddHBand="0" w:evenHBand="0" w:firstRowFirstColumn="0" w:firstRowLastColumn="0" w:lastRowFirstColumn="0" w:lastRowLastColumn="0"/>
            <w:tcW w:w="1418" w:type="dxa"/>
            <w:tcBorders>
              <w:top w:val="nil"/>
              <w:left w:val="single" w:sz="12" w:space="0" w:color="auto"/>
              <w:bottom w:val="nil"/>
              <w:right w:val="single" w:sz="12" w:space="0" w:color="auto"/>
            </w:tcBorders>
            <w:hideMark/>
          </w:tcPr>
          <w:p w:rsidR="00690B72" w:rsidRPr="00055212" w:rsidRDefault="00690B72" w:rsidP="00055212">
            <w:pPr>
              <w:pStyle w:val="Tabletext"/>
              <w:rPr>
                <w:b w:val="0"/>
                <w:lang w:val="en-US" w:eastAsia="en-US"/>
              </w:rPr>
            </w:pPr>
            <w:r w:rsidRPr="00055212">
              <w:rPr>
                <w:b w:val="0"/>
                <w:lang w:val="en-US" w:eastAsia="en-US"/>
              </w:rPr>
              <w:t>Male</w:t>
            </w:r>
          </w:p>
        </w:tc>
        <w:tc>
          <w:tcPr>
            <w:tcW w:w="425" w:type="dxa"/>
            <w:tcBorders>
              <w:top w:val="nil"/>
              <w:left w:val="single" w:sz="4" w:space="0" w:color="auto"/>
              <w:bottom w:val="nil"/>
              <w:right w:val="single" w:sz="4"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61</w:t>
            </w:r>
          </w:p>
        </w:tc>
        <w:tc>
          <w:tcPr>
            <w:tcW w:w="425" w:type="dxa"/>
            <w:tcBorders>
              <w:top w:val="nil"/>
              <w:left w:val="single" w:sz="4" w:space="0" w:color="auto"/>
              <w:bottom w:val="nil"/>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41</w:t>
            </w:r>
          </w:p>
        </w:tc>
        <w:tc>
          <w:tcPr>
            <w:tcW w:w="1134" w:type="dxa"/>
            <w:tcBorders>
              <w:top w:val="nil"/>
              <w:left w:val="single" w:sz="4" w:space="0" w:color="auto"/>
              <w:bottom w:val="nil"/>
              <w:right w:val="single" w:sz="4"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Professional</w:t>
            </w:r>
          </w:p>
        </w:tc>
        <w:tc>
          <w:tcPr>
            <w:tcW w:w="426" w:type="dxa"/>
            <w:tcBorders>
              <w:top w:val="nil"/>
              <w:left w:val="single" w:sz="4" w:space="0" w:color="auto"/>
              <w:bottom w:val="nil"/>
              <w:right w:val="single" w:sz="4"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6</w:t>
            </w:r>
          </w:p>
        </w:tc>
        <w:tc>
          <w:tcPr>
            <w:tcW w:w="425" w:type="dxa"/>
            <w:tcBorders>
              <w:top w:val="nil"/>
              <w:left w:val="single" w:sz="4" w:space="0" w:color="auto"/>
              <w:bottom w:val="nil"/>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4</w:t>
            </w:r>
          </w:p>
        </w:tc>
      </w:tr>
      <w:tr w:rsidR="00690B72" w:rsidRPr="00055212" w:rsidTr="00690B72">
        <w:trPr>
          <w:trHeight w:hRule="exact" w:val="186"/>
        </w:trPr>
        <w:tc>
          <w:tcPr>
            <w:cnfStyle w:val="001000000000" w:firstRow="0" w:lastRow="0" w:firstColumn="1" w:lastColumn="0" w:oddVBand="0" w:evenVBand="0" w:oddHBand="0" w:evenHBand="0" w:firstRowFirstColumn="0" w:firstRowLastColumn="0" w:lastRowFirstColumn="0" w:lastRowLastColumn="0"/>
            <w:tcW w:w="1418" w:type="dxa"/>
            <w:tcBorders>
              <w:top w:val="nil"/>
              <w:left w:val="single" w:sz="12" w:space="0" w:color="auto"/>
              <w:bottom w:val="nil"/>
              <w:right w:val="single" w:sz="12" w:space="0" w:color="auto"/>
            </w:tcBorders>
            <w:hideMark/>
          </w:tcPr>
          <w:p w:rsidR="00690B72" w:rsidRPr="00055212" w:rsidRDefault="00690B72" w:rsidP="00055212">
            <w:pPr>
              <w:pStyle w:val="Tabletext"/>
              <w:rPr>
                <w:b w:val="0"/>
                <w:lang w:val="en-US" w:eastAsia="en-US"/>
              </w:rPr>
            </w:pPr>
            <w:r w:rsidRPr="00055212">
              <w:rPr>
                <w:b w:val="0"/>
                <w:lang w:val="en-US" w:eastAsia="en-US"/>
              </w:rPr>
              <w:t>Female</w:t>
            </w:r>
          </w:p>
        </w:tc>
        <w:tc>
          <w:tcPr>
            <w:tcW w:w="425" w:type="dxa"/>
            <w:tcBorders>
              <w:top w:val="nil"/>
              <w:left w:val="single" w:sz="4" w:space="0" w:color="auto"/>
              <w:bottom w:val="nil"/>
              <w:right w:val="single" w:sz="4"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89</w:t>
            </w:r>
          </w:p>
        </w:tc>
        <w:tc>
          <w:tcPr>
            <w:tcW w:w="425" w:type="dxa"/>
            <w:tcBorders>
              <w:top w:val="nil"/>
              <w:left w:val="single" w:sz="4" w:space="0" w:color="auto"/>
              <w:bottom w:val="nil"/>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59</w:t>
            </w:r>
          </w:p>
        </w:tc>
        <w:tc>
          <w:tcPr>
            <w:tcW w:w="1134" w:type="dxa"/>
            <w:tcBorders>
              <w:top w:val="nil"/>
              <w:left w:val="single" w:sz="4" w:space="0" w:color="auto"/>
              <w:bottom w:val="nil"/>
              <w:right w:val="single" w:sz="4"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Income</w:t>
            </w:r>
          </w:p>
        </w:tc>
        <w:tc>
          <w:tcPr>
            <w:tcW w:w="426" w:type="dxa"/>
            <w:tcBorders>
              <w:top w:val="nil"/>
              <w:left w:val="single" w:sz="4" w:space="0" w:color="auto"/>
              <w:bottom w:val="nil"/>
              <w:right w:val="single" w:sz="4" w:space="0" w:color="auto"/>
            </w:tcBorders>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p>
        </w:tc>
        <w:tc>
          <w:tcPr>
            <w:tcW w:w="425" w:type="dxa"/>
            <w:tcBorders>
              <w:top w:val="nil"/>
              <w:left w:val="single" w:sz="4" w:space="0" w:color="auto"/>
              <w:bottom w:val="nil"/>
              <w:right w:val="single" w:sz="12" w:space="0" w:color="auto"/>
            </w:tcBorders>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p>
        </w:tc>
      </w:tr>
      <w:tr w:rsidR="00690B72" w:rsidRPr="00055212" w:rsidTr="002B1A68">
        <w:trPr>
          <w:trHeight w:hRule="exact" w:val="186"/>
        </w:trPr>
        <w:tc>
          <w:tcPr>
            <w:cnfStyle w:val="001000000000" w:firstRow="0" w:lastRow="0" w:firstColumn="1" w:lastColumn="0" w:oddVBand="0" w:evenVBand="0" w:oddHBand="0" w:evenHBand="0" w:firstRowFirstColumn="0" w:firstRowLastColumn="0" w:lastRowFirstColumn="0" w:lastRowLastColumn="0"/>
            <w:tcW w:w="1418" w:type="dxa"/>
            <w:tcBorders>
              <w:top w:val="nil"/>
              <w:left w:val="single" w:sz="12" w:space="0" w:color="auto"/>
              <w:bottom w:val="nil"/>
              <w:right w:val="single" w:sz="12" w:space="0" w:color="auto"/>
            </w:tcBorders>
            <w:hideMark/>
          </w:tcPr>
          <w:p w:rsidR="00690B72" w:rsidRPr="00055212" w:rsidRDefault="00690B72" w:rsidP="00055212">
            <w:pPr>
              <w:pStyle w:val="Tabletext"/>
              <w:rPr>
                <w:b w:val="0"/>
                <w:lang w:val="en-US" w:eastAsia="en-US"/>
              </w:rPr>
            </w:pPr>
            <w:r w:rsidRPr="00055212">
              <w:rPr>
                <w:b w:val="0"/>
                <w:lang w:val="en-US" w:eastAsia="en-US"/>
              </w:rPr>
              <w:t>Age</w:t>
            </w:r>
          </w:p>
        </w:tc>
        <w:tc>
          <w:tcPr>
            <w:tcW w:w="425" w:type="dxa"/>
            <w:tcBorders>
              <w:top w:val="nil"/>
              <w:left w:val="single" w:sz="4" w:space="0" w:color="auto"/>
              <w:bottom w:val="nil"/>
              <w:right w:val="single" w:sz="4" w:space="0" w:color="auto"/>
            </w:tcBorders>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p>
        </w:tc>
        <w:tc>
          <w:tcPr>
            <w:tcW w:w="425" w:type="dxa"/>
            <w:tcBorders>
              <w:top w:val="nil"/>
              <w:left w:val="single" w:sz="4" w:space="0" w:color="auto"/>
              <w:bottom w:val="nil"/>
              <w:right w:val="single" w:sz="12" w:space="0" w:color="auto"/>
            </w:tcBorders>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p>
        </w:tc>
        <w:tc>
          <w:tcPr>
            <w:tcW w:w="1134" w:type="dxa"/>
            <w:tcBorders>
              <w:top w:val="nil"/>
              <w:left w:val="single" w:sz="4" w:space="0" w:color="auto"/>
              <w:bottom w:val="nil"/>
              <w:right w:val="single" w:sz="4"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&lt; Rp 1 Million</w:t>
            </w:r>
          </w:p>
        </w:tc>
        <w:tc>
          <w:tcPr>
            <w:tcW w:w="426" w:type="dxa"/>
            <w:tcBorders>
              <w:top w:val="nil"/>
              <w:left w:val="single" w:sz="4" w:space="0" w:color="auto"/>
              <w:bottom w:val="nil"/>
              <w:right w:val="single" w:sz="4"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18</w:t>
            </w:r>
          </w:p>
        </w:tc>
        <w:tc>
          <w:tcPr>
            <w:tcW w:w="425" w:type="dxa"/>
            <w:tcBorders>
              <w:top w:val="nil"/>
              <w:left w:val="single" w:sz="4" w:space="0" w:color="auto"/>
              <w:bottom w:val="nil"/>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12</w:t>
            </w:r>
          </w:p>
        </w:tc>
      </w:tr>
      <w:tr w:rsidR="00690B72" w:rsidRPr="00055212" w:rsidTr="002B1A68">
        <w:trPr>
          <w:trHeight w:hRule="exact" w:val="186"/>
        </w:trPr>
        <w:tc>
          <w:tcPr>
            <w:cnfStyle w:val="001000000000" w:firstRow="0" w:lastRow="0" w:firstColumn="1" w:lastColumn="0" w:oddVBand="0" w:evenVBand="0" w:oddHBand="0" w:evenHBand="0" w:firstRowFirstColumn="0" w:firstRowLastColumn="0" w:lastRowFirstColumn="0" w:lastRowLastColumn="0"/>
            <w:tcW w:w="1418" w:type="dxa"/>
            <w:tcBorders>
              <w:top w:val="nil"/>
              <w:left w:val="single" w:sz="12" w:space="0" w:color="auto"/>
              <w:bottom w:val="nil"/>
              <w:right w:val="single" w:sz="12" w:space="0" w:color="auto"/>
            </w:tcBorders>
            <w:hideMark/>
          </w:tcPr>
          <w:p w:rsidR="00690B72" w:rsidRPr="00055212" w:rsidRDefault="00690B72" w:rsidP="00055212">
            <w:pPr>
              <w:pStyle w:val="Tabletext"/>
              <w:rPr>
                <w:b w:val="0"/>
                <w:lang w:val="en-US" w:eastAsia="en-US"/>
              </w:rPr>
            </w:pPr>
            <w:r w:rsidRPr="00055212">
              <w:rPr>
                <w:b w:val="0"/>
                <w:lang w:val="en-US" w:eastAsia="en-US"/>
              </w:rPr>
              <w:t>&lt; 20 Years</w:t>
            </w:r>
          </w:p>
        </w:tc>
        <w:tc>
          <w:tcPr>
            <w:tcW w:w="425" w:type="dxa"/>
            <w:tcBorders>
              <w:top w:val="nil"/>
              <w:left w:val="single" w:sz="4" w:space="0" w:color="auto"/>
              <w:bottom w:val="nil"/>
              <w:right w:val="single" w:sz="4"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26</w:t>
            </w:r>
          </w:p>
        </w:tc>
        <w:tc>
          <w:tcPr>
            <w:tcW w:w="425" w:type="dxa"/>
            <w:tcBorders>
              <w:top w:val="nil"/>
              <w:left w:val="single" w:sz="4" w:space="0" w:color="auto"/>
              <w:bottom w:val="nil"/>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17</w:t>
            </w:r>
          </w:p>
        </w:tc>
        <w:tc>
          <w:tcPr>
            <w:tcW w:w="1134" w:type="dxa"/>
            <w:tcBorders>
              <w:top w:val="nil"/>
              <w:left w:val="single" w:sz="4" w:space="0" w:color="auto"/>
              <w:bottom w:val="nil"/>
              <w:right w:val="single" w:sz="4"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Rp 1– Rp 2,49 Million</w:t>
            </w:r>
          </w:p>
        </w:tc>
        <w:tc>
          <w:tcPr>
            <w:tcW w:w="426" w:type="dxa"/>
            <w:tcBorders>
              <w:top w:val="nil"/>
              <w:left w:val="single" w:sz="4" w:space="0" w:color="auto"/>
              <w:bottom w:val="nil"/>
              <w:right w:val="single" w:sz="4"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27</w:t>
            </w:r>
          </w:p>
        </w:tc>
        <w:tc>
          <w:tcPr>
            <w:tcW w:w="425" w:type="dxa"/>
            <w:tcBorders>
              <w:top w:val="nil"/>
              <w:left w:val="single" w:sz="4" w:space="0" w:color="auto"/>
              <w:bottom w:val="nil"/>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18</w:t>
            </w:r>
          </w:p>
        </w:tc>
      </w:tr>
      <w:tr w:rsidR="00690B72" w:rsidRPr="00055212" w:rsidTr="002B1A68">
        <w:trPr>
          <w:trHeight w:hRule="exact" w:val="186"/>
        </w:trPr>
        <w:tc>
          <w:tcPr>
            <w:cnfStyle w:val="001000000000" w:firstRow="0" w:lastRow="0" w:firstColumn="1" w:lastColumn="0" w:oddVBand="0" w:evenVBand="0" w:oddHBand="0" w:evenHBand="0" w:firstRowFirstColumn="0" w:firstRowLastColumn="0" w:lastRowFirstColumn="0" w:lastRowLastColumn="0"/>
            <w:tcW w:w="1418" w:type="dxa"/>
            <w:tcBorders>
              <w:top w:val="nil"/>
              <w:left w:val="single" w:sz="12" w:space="0" w:color="auto"/>
              <w:bottom w:val="nil"/>
              <w:right w:val="single" w:sz="12" w:space="0" w:color="auto"/>
            </w:tcBorders>
            <w:hideMark/>
          </w:tcPr>
          <w:p w:rsidR="00690B72" w:rsidRPr="00055212" w:rsidRDefault="00690B72" w:rsidP="00055212">
            <w:pPr>
              <w:pStyle w:val="Tabletext"/>
              <w:rPr>
                <w:b w:val="0"/>
                <w:lang w:val="en-US" w:eastAsia="en-US"/>
              </w:rPr>
            </w:pPr>
            <w:r w:rsidRPr="00055212">
              <w:rPr>
                <w:b w:val="0"/>
                <w:lang w:val="en-US" w:eastAsia="en-US"/>
              </w:rPr>
              <w:t>21 – 30 Years</w:t>
            </w:r>
          </w:p>
        </w:tc>
        <w:tc>
          <w:tcPr>
            <w:tcW w:w="425" w:type="dxa"/>
            <w:tcBorders>
              <w:top w:val="nil"/>
              <w:left w:val="single" w:sz="4" w:space="0" w:color="auto"/>
              <w:bottom w:val="nil"/>
              <w:right w:val="single" w:sz="4"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29</w:t>
            </w:r>
          </w:p>
        </w:tc>
        <w:tc>
          <w:tcPr>
            <w:tcW w:w="425" w:type="dxa"/>
            <w:tcBorders>
              <w:top w:val="nil"/>
              <w:left w:val="single" w:sz="4" w:space="0" w:color="auto"/>
              <w:bottom w:val="nil"/>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19</w:t>
            </w:r>
          </w:p>
        </w:tc>
        <w:tc>
          <w:tcPr>
            <w:tcW w:w="1134" w:type="dxa"/>
            <w:tcBorders>
              <w:top w:val="nil"/>
              <w:left w:val="single" w:sz="4" w:space="0" w:color="auto"/>
              <w:bottom w:val="nil"/>
              <w:right w:val="single" w:sz="4"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Rp 2,5– Rp 4,9 Million</w:t>
            </w:r>
          </w:p>
        </w:tc>
        <w:tc>
          <w:tcPr>
            <w:tcW w:w="426" w:type="dxa"/>
            <w:tcBorders>
              <w:top w:val="nil"/>
              <w:left w:val="single" w:sz="4" w:space="0" w:color="auto"/>
              <w:bottom w:val="nil"/>
              <w:right w:val="single" w:sz="4"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39</w:t>
            </w:r>
          </w:p>
        </w:tc>
        <w:tc>
          <w:tcPr>
            <w:tcW w:w="425" w:type="dxa"/>
            <w:tcBorders>
              <w:top w:val="nil"/>
              <w:left w:val="single" w:sz="4" w:space="0" w:color="auto"/>
              <w:bottom w:val="nil"/>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26</w:t>
            </w:r>
          </w:p>
        </w:tc>
      </w:tr>
      <w:tr w:rsidR="00690B72" w:rsidRPr="00055212" w:rsidTr="002B1A68">
        <w:trPr>
          <w:trHeight w:hRule="exact" w:val="186"/>
        </w:trPr>
        <w:tc>
          <w:tcPr>
            <w:cnfStyle w:val="001000000000" w:firstRow="0" w:lastRow="0" w:firstColumn="1" w:lastColumn="0" w:oddVBand="0" w:evenVBand="0" w:oddHBand="0" w:evenHBand="0" w:firstRowFirstColumn="0" w:firstRowLastColumn="0" w:lastRowFirstColumn="0" w:lastRowLastColumn="0"/>
            <w:tcW w:w="1418" w:type="dxa"/>
            <w:tcBorders>
              <w:top w:val="nil"/>
              <w:left w:val="single" w:sz="12" w:space="0" w:color="auto"/>
              <w:bottom w:val="nil"/>
              <w:right w:val="single" w:sz="12" w:space="0" w:color="auto"/>
            </w:tcBorders>
            <w:hideMark/>
          </w:tcPr>
          <w:p w:rsidR="00690B72" w:rsidRPr="00055212" w:rsidRDefault="00690B72" w:rsidP="00055212">
            <w:pPr>
              <w:pStyle w:val="Tabletext"/>
              <w:rPr>
                <w:b w:val="0"/>
                <w:lang w:val="en-US" w:eastAsia="en-US"/>
              </w:rPr>
            </w:pPr>
            <w:r w:rsidRPr="00055212">
              <w:rPr>
                <w:b w:val="0"/>
                <w:lang w:val="en-US" w:eastAsia="en-US"/>
              </w:rPr>
              <w:t>31 – 40 Years</w:t>
            </w:r>
          </w:p>
        </w:tc>
        <w:tc>
          <w:tcPr>
            <w:tcW w:w="425" w:type="dxa"/>
            <w:tcBorders>
              <w:top w:val="nil"/>
              <w:left w:val="single" w:sz="4" w:space="0" w:color="auto"/>
              <w:bottom w:val="nil"/>
              <w:right w:val="single" w:sz="4"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34</w:t>
            </w:r>
          </w:p>
        </w:tc>
        <w:tc>
          <w:tcPr>
            <w:tcW w:w="425" w:type="dxa"/>
            <w:tcBorders>
              <w:top w:val="nil"/>
              <w:left w:val="single" w:sz="4" w:space="0" w:color="auto"/>
              <w:bottom w:val="nil"/>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23</w:t>
            </w:r>
          </w:p>
        </w:tc>
        <w:tc>
          <w:tcPr>
            <w:tcW w:w="1134" w:type="dxa"/>
            <w:tcBorders>
              <w:top w:val="nil"/>
              <w:left w:val="single" w:sz="4" w:space="0" w:color="auto"/>
              <w:bottom w:val="nil"/>
              <w:right w:val="single" w:sz="4"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Rp 5– Rp 9,9 Million</w:t>
            </w:r>
          </w:p>
        </w:tc>
        <w:tc>
          <w:tcPr>
            <w:tcW w:w="426" w:type="dxa"/>
            <w:tcBorders>
              <w:top w:val="nil"/>
              <w:left w:val="single" w:sz="4" w:space="0" w:color="auto"/>
              <w:bottom w:val="nil"/>
              <w:right w:val="single" w:sz="4"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34</w:t>
            </w:r>
          </w:p>
        </w:tc>
        <w:tc>
          <w:tcPr>
            <w:tcW w:w="425" w:type="dxa"/>
            <w:tcBorders>
              <w:top w:val="nil"/>
              <w:left w:val="single" w:sz="4" w:space="0" w:color="auto"/>
              <w:bottom w:val="nil"/>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23</w:t>
            </w:r>
          </w:p>
        </w:tc>
      </w:tr>
      <w:tr w:rsidR="00690B72" w:rsidRPr="00055212" w:rsidTr="00664392">
        <w:trPr>
          <w:trHeight w:hRule="exact" w:val="186"/>
        </w:trPr>
        <w:tc>
          <w:tcPr>
            <w:cnfStyle w:val="001000000000" w:firstRow="0" w:lastRow="0" w:firstColumn="1" w:lastColumn="0" w:oddVBand="0" w:evenVBand="0" w:oddHBand="0" w:evenHBand="0" w:firstRowFirstColumn="0" w:firstRowLastColumn="0" w:lastRowFirstColumn="0" w:lastRowLastColumn="0"/>
            <w:tcW w:w="1418" w:type="dxa"/>
            <w:tcBorders>
              <w:top w:val="nil"/>
              <w:left w:val="single" w:sz="12" w:space="0" w:color="auto"/>
              <w:bottom w:val="nil"/>
              <w:right w:val="single" w:sz="12" w:space="0" w:color="auto"/>
            </w:tcBorders>
            <w:hideMark/>
          </w:tcPr>
          <w:p w:rsidR="00690B72" w:rsidRPr="00055212" w:rsidRDefault="00690B72" w:rsidP="00055212">
            <w:pPr>
              <w:pStyle w:val="Tabletext"/>
              <w:rPr>
                <w:b w:val="0"/>
                <w:lang w:val="en-US" w:eastAsia="en-US"/>
              </w:rPr>
            </w:pPr>
            <w:r w:rsidRPr="00055212">
              <w:rPr>
                <w:b w:val="0"/>
                <w:lang w:val="en-US" w:eastAsia="en-US"/>
              </w:rPr>
              <w:t>41 -  50 Years</w:t>
            </w:r>
          </w:p>
        </w:tc>
        <w:tc>
          <w:tcPr>
            <w:tcW w:w="425" w:type="dxa"/>
            <w:tcBorders>
              <w:top w:val="nil"/>
              <w:left w:val="single" w:sz="4" w:space="0" w:color="auto"/>
              <w:bottom w:val="nil"/>
              <w:right w:val="single" w:sz="4"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36</w:t>
            </w:r>
          </w:p>
        </w:tc>
        <w:tc>
          <w:tcPr>
            <w:tcW w:w="425" w:type="dxa"/>
            <w:tcBorders>
              <w:top w:val="nil"/>
              <w:left w:val="single" w:sz="4" w:space="0" w:color="auto"/>
              <w:bottom w:val="nil"/>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24</w:t>
            </w:r>
          </w:p>
        </w:tc>
        <w:tc>
          <w:tcPr>
            <w:tcW w:w="1134" w:type="dxa"/>
            <w:tcBorders>
              <w:top w:val="nil"/>
              <w:left w:val="single" w:sz="4" w:space="0" w:color="auto"/>
              <w:bottom w:val="nil"/>
              <w:right w:val="single" w:sz="4"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&gt; Rp 10 Milion</w:t>
            </w:r>
          </w:p>
        </w:tc>
        <w:tc>
          <w:tcPr>
            <w:tcW w:w="426" w:type="dxa"/>
            <w:tcBorders>
              <w:top w:val="nil"/>
              <w:left w:val="single" w:sz="4" w:space="0" w:color="auto"/>
              <w:bottom w:val="nil"/>
              <w:right w:val="single" w:sz="4"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32</w:t>
            </w:r>
          </w:p>
        </w:tc>
        <w:tc>
          <w:tcPr>
            <w:tcW w:w="425" w:type="dxa"/>
            <w:tcBorders>
              <w:top w:val="nil"/>
              <w:left w:val="single" w:sz="4" w:space="0" w:color="auto"/>
              <w:bottom w:val="nil"/>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21</w:t>
            </w:r>
          </w:p>
        </w:tc>
      </w:tr>
      <w:tr w:rsidR="00690B72" w:rsidRPr="00055212" w:rsidTr="00664392">
        <w:trPr>
          <w:trHeight w:hRule="exact" w:val="186"/>
        </w:trPr>
        <w:tc>
          <w:tcPr>
            <w:cnfStyle w:val="001000000000" w:firstRow="0" w:lastRow="0" w:firstColumn="1" w:lastColumn="0" w:oddVBand="0" w:evenVBand="0" w:oddHBand="0" w:evenHBand="0" w:firstRowFirstColumn="0" w:firstRowLastColumn="0" w:lastRowFirstColumn="0" w:lastRowLastColumn="0"/>
            <w:tcW w:w="1418" w:type="dxa"/>
            <w:tcBorders>
              <w:top w:val="nil"/>
              <w:left w:val="single" w:sz="12" w:space="0" w:color="auto"/>
              <w:bottom w:val="single" w:sz="4" w:space="0" w:color="auto"/>
              <w:right w:val="single" w:sz="12" w:space="0" w:color="auto"/>
            </w:tcBorders>
            <w:hideMark/>
          </w:tcPr>
          <w:p w:rsidR="00690B72" w:rsidRPr="00055212" w:rsidRDefault="00690B72" w:rsidP="00055212">
            <w:pPr>
              <w:pStyle w:val="Tabletext"/>
              <w:rPr>
                <w:b w:val="0"/>
                <w:lang w:val="en-US" w:eastAsia="en-US"/>
              </w:rPr>
            </w:pPr>
            <w:bookmarkStart w:id="0" w:name="_GoBack"/>
            <w:r w:rsidRPr="00055212">
              <w:rPr>
                <w:b w:val="0"/>
                <w:lang w:val="en-US" w:eastAsia="en-US"/>
              </w:rPr>
              <w:t>&gt; 50 years</w:t>
            </w:r>
          </w:p>
        </w:tc>
        <w:tc>
          <w:tcPr>
            <w:tcW w:w="425" w:type="dxa"/>
            <w:tcBorders>
              <w:top w:val="nil"/>
              <w:left w:val="single" w:sz="4" w:space="0" w:color="auto"/>
              <w:bottom w:val="single" w:sz="4" w:space="0" w:color="auto"/>
              <w:right w:val="single" w:sz="4"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25</w:t>
            </w:r>
          </w:p>
        </w:tc>
        <w:tc>
          <w:tcPr>
            <w:tcW w:w="425" w:type="dxa"/>
            <w:tcBorders>
              <w:top w:val="nil"/>
              <w:left w:val="single" w:sz="4" w:space="0" w:color="auto"/>
              <w:bottom w:val="single" w:sz="4" w:space="0" w:color="auto"/>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17</w:t>
            </w:r>
          </w:p>
        </w:tc>
        <w:tc>
          <w:tcPr>
            <w:tcW w:w="1134" w:type="dxa"/>
            <w:tcBorders>
              <w:top w:val="nil"/>
              <w:left w:val="single" w:sz="4" w:space="0" w:color="auto"/>
              <w:bottom w:val="single" w:sz="4" w:space="0" w:color="auto"/>
              <w:right w:val="single" w:sz="4"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Education</w:t>
            </w:r>
          </w:p>
        </w:tc>
        <w:tc>
          <w:tcPr>
            <w:tcW w:w="426" w:type="dxa"/>
            <w:tcBorders>
              <w:top w:val="nil"/>
              <w:left w:val="single" w:sz="4" w:space="0" w:color="auto"/>
              <w:bottom w:val="single" w:sz="4" w:space="0" w:color="auto"/>
              <w:right w:val="single" w:sz="4" w:space="0" w:color="auto"/>
            </w:tcBorders>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p>
        </w:tc>
        <w:tc>
          <w:tcPr>
            <w:tcW w:w="425" w:type="dxa"/>
            <w:tcBorders>
              <w:top w:val="nil"/>
              <w:left w:val="single" w:sz="4" w:space="0" w:color="auto"/>
              <w:bottom w:val="single" w:sz="4" w:space="0" w:color="auto"/>
              <w:right w:val="single" w:sz="12" w:space="0" w:color="auto"/>
            </w:tcBorders>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p>
        </w:tc>
      </w:tr>
      <w:bookmarkEnd w:id="0"/>
      <w:tr w:rsidR="00690B72" w:rsidRPr="00055212" w:rsidTr="00664392">
        <w:trPr>
          <w:trHeight w:hRule="exact" w:val="186"/>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12" w:space="0" w:color="auto"/>
              <w:bottom w:val="nil"/>
              <w:right w:val="single" w:sz="12" w:space="0" w:color="auto"/>
            </w:tcBorders>
            <w:hideMark/>
          </w:tcPr>
          <w:p w:rsidR="00690B72" w:rsidRPr="00055212" w:rsidRDefault="00690B72" w:rsidP="00055212">
            <w:pPr>
              <w:pStyle w:val="Tabletext"/>
              <w:rPr>
                <w:b w:val="0"/>
                <w:lang w:val="en-US" w:eastAsia="en-US"/>
              </w:rPr>
            </w:pPr>
            <w:r w:rsidRPr="00055212">
              <w:rPr>
                <w:b w:val="0"/>
                <w:lang w:val="en-US" w:eastAsia="en-US"/>
              </w:rPr>
              <w:lastRenderedPageBreak/>
              <w:t>Occupation</w:t>
            </w:r>
          </w:p>
        </w:tc>
        <w:tc>
          <w:tcPr>
            <w:tcW w:w="425" w:type="dxa"/>
            <w:tcBorders>
              <w:top w:val="single" w:sz="4" w:space="0" w:color="auto"/>
              <w:left w:val="single" w:sz="4" w:space="0" w:color="auto"/>
              <w:bottom w:val="nil"/>
              <w:right w:val="single" w:sz="4" w:space="0" w:color="auto"/>
            </w:tcBorders>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p>
        </w:tc>
        <w:tc>
          <w:tcPr>
            <w:tcW w:w="425" w:type="dxa"/>
            <w:tcBorders>
              <w:top w:val="single" w:sz="4" w:space="0" w:color="auto"/>
              <w:left w:val="single" w:sz="4" w:space="0" w:color="auto"/>
              <w:bottom w:val="nil"/>
              <w:right w:val="single" w:sz="12" w:space="0" w:color="auto"/>
            </w:tcBorders>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p>
        </w:tc>
        <w:tc>
          <w:tcPr>
            <w:tcW w:w="1134" w:type="dxa"/>
            <w:tcBorders>
              <w:top w:val="single" w:sz="4" w:space="0" w:color="auto"/>
              <w:left w:val="single" w:sz="4" w:space="0" w:color="auto"/>
              <w:bottom w:val="nil"/>
              <w:right w:val="single" w:sz="4" w:space="0" w:color="auto"/>
            </w:tcBorders>
            <w:vAlign w:val="center"/>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Elementary/Junior/High School</w:t>
            </w:r>
          </w:p>
        </w:tc>
        <w:tc>
          <w:tcPr>
            <w:tcW w:w="426" w:type="dxa"/>
            <w:tcBorders>
              <w:top w:val="single" w:sz="4" w:space="0" w:color="auto"/>
              <w:left w:val="single" w:sz="4" w:space="0" w:color="auto"/>
              <w:bottom w:val="nil"/>
              <w:right w:val="single" w:sz="4"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36</w:t>
            </w:r>
          </w:p>
        </w:tc>
        <w:tc>
          <w:tcPr>
            <w:tcW w:w="425" w:type="dxa"/>
            <w:tcBorders>
              <w:top w:val="single" w:sz="4" w:space="0" w:color="auto"/>
              <w:left w:val="single" w:sz="4" w:space="0" w:color="auto"/>
              <w:bottom w:val="nil"/>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24</w:t>
            </w:r>
          </w:p>
        </w:tc>
      </w:tr>
      <w:tr w:rsidR="00690B72" w:rsidRPr="00055212" w:rsidTr="00690B72">
        <w:trPr>
          <w:trHeight w:hRule="exact" w:val="186"/>
        </w:trPr>
        <w:tc>
          <w:tcPr>
            <w:cnfStyle w:val="001000000000" w:firstRow="0" w:lastRow="0" w:firstColumn="1" w:lastColumn="0" w:oddVBand="0" w:evenVBand="0" w:oddHBand="0" w:evenHBand="0" w:firstRowFirstColumn="0" w:firstRowLastColumn="0" w:lastRowFirstColumn="0" w:lastRowLastColumn="0"/>
            <w:tcW w:w="1418" w:type="dxa"/>
            <w:tcBorders>
              <w:top w:val="nil"/>
              <w:left w:val="single" w:sz="12" w:space="0" w:color="auto"/>
              <w:bottom w:val="nil"/>
              <w:right w:val="single" w:sz="12" w:space="0" w:color="auto"/>
            </w:tcBorders>
            <w:hideMark/>
          </w:tcPr>
          <w:p w:rsidR="00690B72" w:rsidRPr="00055212" w:rsidRDefault="00690B72" w:rsidP="00055212">
            <w:pPr>
              <w:pStyle w:val="Tabletext"/>
              <w:rPr>
                <w:b w:val="0"/>
                <w:lang w:val="en-US" w:eastAsia="en-US"/>
              </w:rPr>
            </w:pPr>
            <w:r w:rsidRPr="00055212">
              <w:rPr>
                <w:b w:val="0"/>
                <w:lang w:val="en-US" w:eastAsia="en-US"/>
              </w:rPr>
              <w:t>Unemployed</w:t>
            </w:r>
          </w:p>
        </w:tc>
        <w:tc>
          <w:tcPr>
            <w:tcW w:w="425" w:type="dxa"/>
            <w:tcBorders>
              <w:top w:val="nil"/>
              <w:left w:val="single" w:sz="4" w:space="0" w:color="auto"/>
              <w:bottom w:val="nil"/>
              <w:right w:val="single" w:sz="4"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7</w:t>
            </w:r>
          </w:p>
        </w:tc>
        <w:tc>
          <w:tcPr>
            <w:tcW w:w="425" w:type="dxa"/>
            <w:tcBorders>
              <w:top w:val="nil"/>
              <w:left w:val="single" w:sz="4" w:space="0" w:color="auto"/>
              <w:bottom w:val="nil"/>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5</w:t>
            </w:r>
          </w:p>
        </w:tc>
        <w:tc>
          <w:tcPr>
            <w:tcW w:w="1134" w:type="dxa"/>
            <w:tcBorders>
              <w:top w:val="nil"/>
              <w:left w:val="single" w:sz="4" w:space="0" w:color="auto"/>
              <w:bottom w:val="nil"/>
              <w:right w:val="single" w:sz="4" w:space="0" w:color="auto"/>
            </w:tcBorders>
            <w:vAlign w:val="center"/>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Diploma (D1,D2, D3)</w:t>
            </w:r>
          </w:p>
        </w:tc>
        <w:tc>
          <w:tcPr>
            <w:tcW w:w="426" w:type="dxa"/>
            <w:tcBorders>
              <w:top w:val="nil"/>
              <w:left w:val="single" w:sz="4" w:space="0" w:color="auto"/>
              <w:bottom w:val="nil"/>
              <w:right w:val="single" w:sz="4"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4</w:t>
            </w:r>
          </w:p>
        </w:tc>
        <w:tc>
          <w:tcPr>
            <w:tcW w:w="425" w:type="dxa"/>
            <w:tcBorders>
              <w:top w:val="nil"/>
              <w:left w:val="single" w:sz="4" w:space="0" w:color="auto"/>
              <w:bottom w:val="nil"/>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3</w:t>
            </w:r>
          </w:p>
        </w:tc>
      </w:tr>
      <w:tr w:rsidR="00690B72" w:rsidRPr="00055212" w:rsidTr="00690B72">
        <w:trPr>
          <w:trHeight w:hRule="exact" w:val="186"/>
        </w:trPr>
        <w:tc>
          <w:tcPr>
            <w:cnfStyle w:val="001000000000" w:firstRow="0" w:lastRow="0" w:firstColumn="1" w:lastColumn="0" w:oddVBand="0" w:evenVBand="0" w:oddHBand="0" w:evenHBand="0" w:firstRowFirstColumn="0" w:firstRowLastColumn="0" w:lastRowFirstColumn="0" w:lastRowLastColumn="0"/>
            <w:tcW w:w="1418" w:type="dxa"/>
            <w:tcBorders>
              <w:top w:val="nil"/>
              <w:left w:val="single" w:sz="12" w:space="0" w:color="auto"/>
              <w:bottom w:val="nil"/>
              <w:right w:val="single" w:sz="12" w:space="0" w:color="auto"/>
            </w:tcBorders>
            <w:hideMark/>
          </w:tcPr>
          <w:p w:rsidR="00690B72" w:rsidRPr="00055212" w:rsidRDefault="00690B72" w:rsidP="00055212">
            <w:pPr>
              <w:pStyle w:val="Tabletext"/>
              <w:rPr>
                <w:b w:val="0"/>
                <w:lang w:val="en-US" w:eastAsia="en-US"/>
              </w:rPr>
            </w:pPr>
            <w:r w:rsidRPr="00055212">
              <w:rPr>
                <w:b w:val="0"/>
                <w:lang w:val="en-US" w:eastAsia="en-US"/>
              </w:rPr>
              <w:t>Student</w:t>
            </w:r>
          </w:p>
        </w:tc>
        <w:tc>
          <w:tcPr>
            <w:tcW w:w="425" w:type="dxa"/>
            <w:tcBorders>
              <w:top w:val="nil"/>
              <w:left w:val="single" w:sz="4" w:space="0" w:color="auto"/>
              <w:bottom w:val="nil"/>
              <w:right w:val="single" w:sz="4"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26</w:t>
            </w:r>
          </w:p>
        </w:tc>
        <w:tc>
          <w:tcPr>
            <w:tcW w:w="425" w:type="dxa"/>
            <w:tcBorders>
              <w:top w:val="nil"/>
              <w:left w:val="single" w:sz="4" w:space="0" w:color="auto"/>
              <w:bottom w:val="nil"/>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17</w:t>
            </w:r>
          </w:p>
        </w:tc>
        <w:tc>
          <w:tcPr>
            <w:tcW w:w="1134" w:type="dxa"/>
            <w:tcBorders>
              <w:top w:val="nil"/>
              <w:left w:val="single" w:sz="4" w:space="0" w:color="auto"/>
              <w:bottom w:val="nil"/>
              <w:right w:val="single" w:sz="4" w:space="0" w:color="auto"/>
            </w:tcBorders>
            <w:vAlign w:val="center"/>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Under Graduate</w:t>
            </w:r>
          </w:p>
        </w:tc>
        <w:tc>
          <w:tcPr>
            <w:tcW w:w="426" w:type="dxa"/>
            <w:tcBorders>
              <w:top w:val="nil"/>
              <w:left w:val="single" w:sz="4" w:space="0" w:color="auto"/>
              <w:bottom w:val="nil"/>
              <w:right w:val="single" w:sz="4"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64</w:t>
            </w:r>
          </w:p>
        </w:tc>
        <w:tc>
          <w:tcPr>
            <w:tcW w:w="425" w:type="dxa"/>
            <w:tcBorders>
              <w:top w:val="nil"/>
              <w:left w:val="single" w:sz="4" w:space="0" w:color="auto"/>
              <w:bottom w:val="nil"/>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43</w:t>
            </w:r>
          </w:p>
        </w:tc>
      </w:tr>
      <w:tr w:rsidR="00690B72" w:rsidRPr="00055212" w:rsidTr="00690B72">
        <w:trPr>
          <w:trHeight w:hRule="exact" w:val="186"/>
        </w:trPr>
        <w:tc>
          <w:tcPr>
            <w:cnfStyle w:val="001000000000" w:firstRow="0" w:lastRow="0" w:firstColumn="1" w:lastColumn="0" w:oddVBand="0" w:evenVBand="0" w:oddHBand="0" w:evenHBand="0" w:firstRowFirstColumn="0" w:firstRowLastColumn="0" w:lastRowFirstColumn="0" w:lastRowLastColumn="0"/>
            <w:tcW w:w="1418" w:type="dxa"/>
            <w:tcBorders>
              <w:top w:val="nil"/>
              <w:left w:val="single" w:sz="12" w:space="0" w:color="auto"/>
              <w:bottom w:val="nil"/>
              <w:right w:val="single" w:sz="12" w:space="0" w:color="auto"/>
            </w:tcBorders>
            <w:hideMark/>
          </w:tcPr>
          <w:p w:rsidR="00690B72" w:rsidRPr="00055212" w:rsidRDefault="00690B72" w:rsidP="00055212">
            <w:pPr>
              <w:pStyle w:val="Tabletext"/>
              <w:rPr>
                <w:b w:val="0"/>
                <w:lang w:val="en-US" w:eastAsia="en-US"/>
              </w:rPr>
            </w:pPr>
            <w:r w:rsidRPr="00055212">
              <w:rPr>
                <w:b w:val="0"/>
                <w:lang w:val="en-US" w:eastAsia="en-US"/>
              </w:rPr>
              <w:t>Gov. Employee</w:t>
            </w:r>
          </w:p>
        </w:tc>
        <w:tc>
          <w:tcPr>
            <w:tcW w:w="425" w:type="dxa"/>
            <w:tcBorders>
              <w:top w:val="nil"/>
              <w:left w:val="single" w:sz="4" w:space="0" w:color="auto"/>
              <w:bottom w:val="nil"/>
              <w:right w:val="single" w:sz="4"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34</w:t>
            </w:r>
          </w:p>
        </w:tc>
        <w:tc>
          <w:tcPr>
            <w:tcW w:w="425" w:type="dxa"/>
            <w:tcBorders>
              <w:top w:val="nil"/>
              <w:left w:val="single" w:sz="4" w:space="0" w:color="auto"/>
              <w:bottom w:val="nil"/>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23</w:t>
            </w:r>
          </w:p>
        </w:tc>
        <w:tc>
          <w:tcPr>
            <w:tcW w:w="1134" w:type="dxa"/>
            <w:tcBorders>
              <w:top w:val="nil"/>
              <w:left w:val="single" w:sz="4" w:space="0" w:color="auto"/>
              <w:bottom w:val="nil"/>
              <w:right w:val="single" w:sz="4" w:space="0" w:color="auto"/>
            </w:tcBorders>
            <w:vAlign w:val="center"/>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Graduate</w:t>
            </w:r>
          </w:p>
        </w:tc>
        <w:tc>
          <w:tcPr>
            <w:tcW w:w="426" w:type="dxa"/>
            <w:tcBorders>
              <w:top w:val="nil"/>
              <w:left w:val="single" w:sz="4" w:space="0" w:color="auto"/>
              <w:bottom w:val="nil"/>
              <w:right w:val="single" w:sz="4"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36</w:t>
            </w:r>
          </w:p>
        </w:tc>
        <w:tc>
          <w:tcPr>
            <w:tcW w:w="425" w:type="dxa"/>
            <w:tcBorders>
              <w:top w:val="nil"/>
              <w:left w:val="single" w:sz="4" w:space="0" w:color="auto"/>
              <w:bottom w:val="nil"/>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24</w:t>
            </w:r>
          </w:p>
        </w:tc>
      </w:tr>
      <w:tr w:rsidR="00690B72" w:rsidRPr="00055212" w:rsidTr="00690B72">
        <w:trPr>
          <w:trHeight w:hRule="exact" w:val="186"/>
        </w:trPr>
        <w:tc>
          <w:tcPr>
            <w:cnfStyle w:val="001000000000" w:firstRow="0" w:lastRow="0" w:firstColumn="1" w:lastColumn="0" w:oddVBand="0" w:evenVBand="0" w:oddHBand="0" w:evenHBand="0" w:firstRowFirstColumn="0" w:firstRowLastColumn="0" w:lastRowFirstColumn="0" w:lastRowLastColumn="0"/>
            <w:tcW w:w="1418" w:type="dxa"/>
            <w:tcBorders>
              <w:top w:val="nil"/>
              <w:left w:val="single" w:sz="12" w:space="0" w:color="auto"/>
              <w:bottom w:val="single" w:sz="12" w:space="0" w:color="auto"/>
              <w:right w:val="single" w:sz="12" w:space="0" w:color="auto"/>
            </w:tcBorders>
            <w:hideMark/>
          </w:tcPr>
          <w:p w:rsidR="00690B72" w:rsidRPr="00055212" w:rsidRDefault="00690B72" w:rsidP="00055212">
            <w:pPr>
              <w:pStyle w:val="Tabletext"/>
              <w:rPr>
                <w:b w:val="0"/>
                <w:lang w:val="en-US" w:eastAsia="en-US"/>
              </w:rPr>
            </w:pPr>
            <w:r w:rsidRPr="00055212">
              <w:rPr>
                <w:b w:val="0"/>
                <w:lang w:val="en-US" w:eastAsia="en-US"/>
              </w:rPr>
              <w:t>Private Employee</w:t>
            </w:r>
          </w:p>
        </w:tc>
        <w:tc>
          <w:tcPr>
            <w:tcW w:w="425" w:type="dxa"/>
            <w:tcBorders>
              <w:top w:val="nil"/>
              <w:left w:val="single" w:sz="4" w:space="0" w:color="auto"/>
              <w:bottom w:val="single" w:sz="12" w:space="0" w:color="auto"/>
              <w:right w:val="single" w:sz="4"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45</w:t>
            </w:r>
          </w:p>
        </w:tc>
        <w:tc>
          <w:tcPr>
            <w:tcW w:w="425" w:type="dxa"/>
            <w:tcBorders>
              <w:top w:val="nil"/>
              <w:left w:val="single" w:sz="4" w:space="0" w:color="auto"/>
              <w:bottom w:val="single" w:sz="12" w:space="0" w:color="auto"/>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30</w:t>
            </w:r>
          </w:p>
        </w:tc>
        <w:tc>
          <w:tcPr>
            <w:tcW w:w="1134" w:type="dxa"/>
            <w:tcBorders>
              <w:top w:val="nil"/>
              <w:left w:val="single" w:sz="4" w:space="0" w:color="auto"/>
              <w:bottom w:val="single" w:sz="12" w:space="0" w:color="auto"/>
              <w:right w:val="single" w:sz="4" w:space="0" w:color="auto"/>
            </w:tcBorders>
            <w:vAlign w:val="center"/>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Post Graduate</w:t>
            </w:r>
          </w:p>
        </w:tc>
        <w:tc>
          <w:tcPr>
            <w:tcW w:w="426" w:type="dxa"/>
            <w:tcBorders>
              <w:top w:val="nil"/>
              <w:left w:val="single" w:sz="4" w:space="0" w:color="auto"/>
              <w:bottom w:val="single" w:sz="12" w:space="0" w:color="auto"/>
              <w:right w:val="single" w:sz="4"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10</w:t>
            </w:r>
          </w:p>
        </w:tc>
        <w:tc>
          <w:tcPr>
            <w:tcW w:w="425" w:type="dxa"/>
            <w:tcBorders>
              <w:top w:val="nil"/>
              <w:left w:val="single" w:sz="4" w:space="0" w:color="auto"/>
              <w:bottom w:val="single" w:sz="12" w:space="0" w:color="auto"/>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7</w:t>
            </w:r>
          </w:p>
        </w:tc>
      </w:tr>
    </w:tbl>
    <w:p w:rsidR="00690B72" w:rsidRPr="00055212" w:rsidRDefault="00690B72" w:rsidP="00690B72">
      <w:pPr>
        <w:rPr>
          <w:sz w:val="20"/>
        </w:rPr>
      </w:pPr>
      <w:r w:rsidRPr="00055212">
        <w:rPr>
          <w:sz w:val="20"/>
        </w:rPr>
        <w:t xml:space="preserve">Source: Primary Data, </w:t>
      </w:r>
      <w:r w:rsidR="00055212" w:rsidRPr="00055212">
        <w:rPr>
          <w:sz w:val="20"/>
        </w:rPr>
        <w:t>Processed, 2019</w:t>
      </w:r>
    </w:p>
    <w:p w:rsidR="00690B72" w:rsidRPr="00055212" w:rsidRDefault="00690B72" w:rsidP="00055212">
      <w:pPr>
        <w:pStyle w:val="Heading2"/>
      </w:pPr>
      <w:r w:rsidRPr="00055212">
        <w:rPr>
          <w:i w:val="0"/>
        </w:rPr>
        <w:t>3.2.</w:t>
      </w:r>
      <w:r w:rsidRPr="00055212">
        <w:tab/>
        <w:t>Descriptive Analysis and Variable Categorization</w:t>
      </w:r>
    </w:p>
    <w:p w:rsidR="00690B72" w:rsidRDefault="00690B72" w:rsidP="00055212">
      <w:pPr>
        <w:pStyle w:val="Paragraphafterheading"/>
        <w:widowControl w:val="0"/>
        <w:spacing w:line="-240" w:lineRule="auto"/>
      </w:pPr>
      <w:r w:rsidRPr="00055212">
        <w:t>The results of the categorization of variables based on average values ​​and standard deviations are presented in table 2 as follows:</w:t>
      </w:r>
    </w:p>
    <w:p w:rsidR="00F45642" w:rsidRPr="00F45642" w:rsidRDefault="00F45642" w:rsidP="00F45642"/>
    <w:p w:rsidR="00690B72" w:rsidRPr="00055212" w:rsidRDefault="00690B72" w:rsidP="00055212">
      <w:pPr>
        <w:pStyle w:val="Tablecaption"/>
      </w:pPr>
      <w:r w:rsidRPr="00055212">
        <w:t>Table 2. Categorization Variables</w:t>
      </w:r>
    </w:p>
    <w:tbl>
      <w:tblPr>
        <w:tblStyle w:val="LightList-Accent5111"/>
        <w:tblW w:w="5871" w:type="dxa"/>
        <w:tblInd w:w="392" w:type="dxa"/>
        <w:tblLayout w:type="fixed"/>
        <w:tblLook w:val="04A0" w:firstRow="1" w:lastRow="0" w:firstColumn="1" w:lastColumn="0" w:noHBand="0" w:noVBand="1"/>
      </w:tblPr>
      <w:tblGrid>
        <w:gridCol w:w="1725"/>
        <w:gridCol w:w="703"/>
        <w:gridCol w:w="1013"/>
        <w:gridCol w:w="810"/>
        <w:gridCol w:w="810"/>
        <w:gridCol w:w="810"/>
      </w:tblGrid>
      <w:tr w:rsidR="00690B72" w:rsidTr="00055212">
        <w:trPr>
          <w:cnfStyle w:val="100000000000" w:firstRow="1" w:lastRow="0" w:firstColumn="0" w:lastColumn="0" w:oddVBand="0" w:evenVBand="0" w:oddHBand="0" w:evenHBand="0" w:firstRowFirstColumn="0" w:firstRowLastColumn="0" w:lastRowFirstColumn="0" w:lastRowLastColumn="0"/>
          <w:trHeight w:hRule="exact" w:val="631"/>
        </w:trPr>
        <w:tc>
          <w:tcPr>
            <w:cnfStyle w:val="001000000000" w:firstRow="0" w:lastRow="0" w:firstColumn="1" w:lastColumn="0" w:oddVBand="0" w:evenVBand="0" w:oddHBand="0" w:evenHBand="0" w:firstRowFirstColumn="0" w:firstRowLastColumn="0" w:lastRowFirstColumn="0" w:lastRowLastColumn="0"/>
            <w:tcW w:w="1725" w:type="dxa"/>
            <w:tcBorders>
              <w:top w:val="single" w:sz="12" w:space="0" w:color="auto"/>
              <w:left w:val="single" w:sz="12" w:space="0" w:color="auto"/>
              <w:bottom w:val="nil"/>
              <w:right w:val="single" w:sz="12" w:space="0" w:color="auto"/>
            </w:tcBorders>
            <w:shd w:val="clear" w:color="auto" w:fill="F2F2F2" w:themeFill="background1" w:themeFillShade="F2"/>
            <w:hideMark/>
          </w:tcPr>
          <w:p w:rsidR="00690B72" w:rsidRPr="00055212" w:rsidRDefault="00690B72" w:rsidP="00055212">
            <w:pPr>
              <w:pStyle w:val="Tabletext"/>
              <w:rPr>
                <w:b w:val="0"/>
                <w:bCs w:val="0"/>
                <w:color w:val="auto"/>
                <w:lang w:val="en-US" w:eastAsia="en-US"/>
              </w:rPr>
            </w:pPr>
            <w:r w:rsidRPr="00055212">
              <w:rPr>
                <w:b w:val="0"/>
                <w:color w:val="auto"/>
                <w:lang w:val="en-US" w:eastAsia="en-US"/>
              </w:rPr>
              <w:t>Variables</w:t>
            </w:r>
          </w:p>
        </w:tc>
        <w:tc>
          <w:tcPr>
            <w:tcW w:w="703" w:type="dxa"/>
            <w:tcBorders>
              <w:top w:val="single" w:sz="12" w:space="0" w:color="auto"/>
              <w:left w:val="single" w:sz="12" w:space="0" w:color="auto"/>
              <w:bottom w:val="nil"/>
              <w:right w:val="single" w:sz="12" w:space="0" w:color="auto"/>
            </w:tcBorders>
            <w:shd w:val="clear" w:color="auto" w:fill="F2F2F2" w:themeFill="background1" w:themeFillShade="F2"/>
            <w:hideMark/>
          </w:tcPr>
          <w:p w:rsidR="00690B72" w:rsidRPr="00055212" w:rsidRDefault="00690B72" w:rsidP="00055212">
            <w:pPr>
              <w:pStyle w:val="Tabletext"/>
              <w:cnfStyle w:val="100000000000" w:firstRow="1" w:lastRow="0" w:firstColumn="0" w:lastColumn="0" w:oddVBand="0" w:evenVBand="0" w:oddHBand="0" w:evenHBand="0" w:firstRowFirstColumn="0" w:firstRowLastColumn="0" w:lastRowFirstColumn="0" w:lastRowLastColumn="0"/>
              <w:rPr>
                <w:b w:val="0"/>
                <w:color w:val="auto"/>
                <w:lang w:val="en-US" w:eastAsia="en-US"/>
              </w:rPr>
            </w:pPr>
            <w:r w:rsidRPr="00055212">
              <w:rPr>
                <w:b w:val="0"/>
                <w:color w:val="auto"/>
                <w:lang w:val="en-US" w:eastAsia="en-US"/>
              </w:rPr>
              <w:t>Mean</w:t>
            </w:r>
          </w:p>
        </w:tc>
        <w:tc>
          <w:tcPr>
            <w:tcW w:w="1013" w:type="dxa"/>
            <w:tcBorders>
              <w:top w:val="single" w:sz="12" w:space="0" w:color="auto"/>
              <w:left w:val="single" w:sz="12" w:space="0" w:color="auto"/>
              <w:bottom w:val="nil"/>
              <w:right w:val="single" w:sz="12" w:space="0" w:color="auto"/>
            </w:tcBorders>
            <w:shd w:val="clear" w:color="auto" w:fill="F2F2F2" w:themeFill="background1" w:themeFillShade="F2"/>
            <w:hideMark/>
          </w:tcPr>
          <w:p w:rsidR="00690B72" w:rsidRPr="00055212" w:rsidRDefault="00690B72" w:rsidP="00055212">
            <w:pPr>
              <w:pStyle w:val="Tabletext"/>
              <w:cnfStyle w:val="100000000000" w:firstRow="1" w:lastRow="0" w:firstColumn="0" w:lastColumn="0" w:oddVBand="0" w:evenVBand="0" w:oddHBand="0" w:evenHBand="0" w:firstRowFirstColumn="0" w:firstRowLastColumn="0" w:lastRowFirstColumn="0" w:lastRowLastColumn="0"/>
              <w:rPr>
                <w:b w:val="0"/>
                <w:color w:val="auto"/>
                <w:lang w:val="en-US" w:eastAsia="en-US"/>
              </w:rPr>
            </w:pPr>
            <w:r w:rsidRPr="00055212">
              <w:rPr>
                <w:b w:val="0"/>
                <w:color w:val="auto"/>
                <w:lang w:val="en-US" w:eastAsia="en-US"/>
              </w:rPr>
              <w:t>Standard Deviation</w:t>
            </w:r>
          </w:p>
        </w:tc>
        <w:tc>
          <w:tcPr>
            <w:tcW w:w="2430"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90B72" w:rsidRPr="00055212" w:rsidRDefault="00690B72" w:rsidP="00055212">
            <w:pPr>
              <w:pStyle w:val="Tabletext"/>
              <w:cnfStyle w:val="100000000000" w:firstRow="1" w:lastRow="0" w:firstColumn="0" w:lastColumn="0" w:oddVBand="0" w:evenVBand="0" w:oddHBand="0" w:evenHBand="0" w:firstRowFirstColumn="0" w:firstRowLastColumn="0" w:lastRowFirstColumn="0" w:lastRowLastColumn="0"/>
              <w:rPr>
                <w:b w:val="0"/>
                <w:color w:val="auto"/>
                <w:lang w:val="en-US" w:eastAsia="en-US"/>
              </w:rPr>
            </w:pPr>
            <w:r w:rsidRPr="00055212">
              <w:rPr>
                <w:b w:val="0"/>
                <w:color w:val="auto"/>
                <w:lang w:val="en-US" w:eastAsia="en-US"/>
              </w:rPr>
              <w:t>Respondent Assessment</w:t>
            </w:r>
          </w:p>
        </w:tc>
      </w:tr>
      <w:tr w:rsidR="00055212" w:rsidTr="00055212">
        <w:trPr>
          <w:trHeight w:hRule="exact" w:val="387"/>
        </w:trPr>
        <w:tc>
          <w:tcPr>
            <w:cnfStyle w:val="001000000000" w:firstRow="0" w:lastRow="0" w:firstColumn="1" w:lastColumn="0" w:oddVBand="0" w:evenVBand="0" w:oddHBand="0" w:evenHBand="0" w:firstRowFirstColumn="0" w:firstRowLastColumn="0" w:lastRowFirstColumn="0" w:lastRowLastColumn="0"/>
            <w:tcW w:w="1725" w:type="dxa"/>
            <w:tcBorders>
              <w:top w:val="nil"/>
              <w:left w:val="single" w:sz="12" w:space="0" w:color="auto"/>
              <w:bottom w:val="single" w:sz="12" w:space="0" w:color="auto"/>
              <w:right w:val="single" w:sz="12" w:space="0" w:color="auto"/>
            </w:tcBorders>
            <w:shd w:val="clear" w:color="auto" w:fill="F2F2F2" w:themeFill="background1" w:themeFillShade="F2"/>
          </w:tcPr>
          <w:p w:rsidR="00690B72" w:rsidRPr="00055212" w:rsidRDefault="00690B72" w:rsidP="00055212">
            <w:pPr>
              <w:pStyle w:val="Tabletext"/>
              <w:rPr>
                <w:b w:val="0"/>
                <w:lang w:val="en-US" w:eastAsia="en-US"/>
              </w:rPr>
            </w:pPr>
          </w:p>
        </w:tc>
        <w:tc>
          <w:tcPr>
            <w:tcW w:w="703" w:type="dxa"/>
            <w:tcBorders>
              <w:top w:val="nil"/>
              <w:left w:val="single" w:sz="12" w:space="0" w:color="auto"/>
              <w:bottom w:val="single" w:sz="12" w:space="0" w:color="auto"/>
              <w:right w:val="single" w:sz="12" w:space="0" w:color="auto"/>
            </w:tcBorders>
            <w:shd w:val="clear" w:color="auto" w:fill="F2F2F2" w:themeFill="background1" w:themeFillShade="F2"/>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p>
        </w:tc>
        <w:tc>
          <w:tcPr>
            <w:tcW w:w="1013" w:type="dxa"/>
            <w:tcBorders>
              <w:top w:val="nil"/>
              <w:left w:val="single" w:sz="12" w:space="0" w:color="auto"/>
              <w:bottom w:val="single" w:sz="12" w:space="0" w:color="auto"/>
              <w:right w:val="single" w:sz="12" w:space="0" w:color="auto"/>
            </w:tcBorders>
            <w:shd w:val="clear" w:color="auto" w:fill="F2F2F2" w:themeFill="background1" w:themeFillShade="F2"/>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p>
        </w:tc>
        <w:tc>
          <w:tcPr>
            <w:tcW w:w="81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High</w:t>
            </w:r>
          </w:p>
        </w:tc>
        <w:tc>
          <w:tcPr>
            <w:tcW w:w="81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Middle</w:t>
            </w:r>
          </w:p>
        </w:tc>
        <w:tc>
          <w:tcPr>
            <w:tcW w:w="810" w:type="dxa"/>
            <w:tcBorders>
              <w:top w:val="single" w:sz="12" w:space="0" w:color="auto"/>
              <w:left w:val="single" w:sz="2" w:space="0" w:color="auto"/>
              <w:bottom w:val="single" w:sz="12" w:space="0" w:color="auto"/>
              <w:right w:val="single" w:sz="12" w:space="0" w:color="auto"/>
            </w:tcBorders>
            <w:shd w:val="clear" w:color="auto" w:fill="F2F2F2" w:themeFill="background1" w:themeFillShade="F2"/>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Low</w:t>
            </w:r>
          </w:p>
        </w:tc>
      </w:tr>
      <w:tr w:rsidR="00690B72" w:rsidTr="00055212">
        <w:trPr>
          <w:trHeight w:hRule="exact" w:val="266"/>
        </w:trPr>
        <w:tc>
          <w:tcPr>
            <w:cnfStyle w:val="001000000000" w:firstRow="0" w:lastRow="0" w:firstColumn="1" w:lastColumn="0" w:oddVBand="0" w:evenVBand="0" w:oddHBand="0" w:evenHBand="0" w:firstRowFirstColumn="0" w:firstRowLastColumn="0" w:lastRowFirstColumn="0" w:lastRowLastColumn="0"/>
            <w:tcW w:w="1725" w:type="dxa"/>
            <w:tcBorders>
              <w:top w:val="single" w:sz="12" w:space="0" w:color="auto"/>
              <w:left w:val="single" w:sz="12" w:space="0" w:color="auto"/>
              <w:bottom w:val="single" w:sz="4" w:space="0" w:color="auto"/>
              <w:right w:val="single" w:sz="12" w:space="0" w:color="auto"/>
            </w:tcBorders>
            <w:hideMark/>
          </w:tcPr>
          <w:p w:rsidR="00690B72" w:rsidRPr="00055212" w:rsidRDefault="00690B72" w:rsidP="00055212">
            <w:pPr>
              <w:pStyle w:val="Tabletext"/>
              <w:rPr>
                <w:b w:val="0"/>
                <w:lang w:val="en-US" w:eastAsia="en-US"/>
              </w:rPr>
            </w:pPr>
            <w:r w:rsidRPr="00055212">
              <w:rPr>
                <w:b w:val="0"/>
                <w:lang w:val="en-US" w:eastAsia="en-US"/>
              </w:rPr>
              <w:t>Preferences</w:t>
            </w:r>
          </w:p>
        </w:tc>
        <w:tc>
          <w:tcPr>
            <w:tcW w:w="703" w:type="dxa"/>
            <w:tcBorders>
              <w:top w:val="single" w:sz="12" w:space="0" w:color="auto"/>
              <w:left w:val="single" w:sz="12" w:space="0" w:color="auto"/>
              <w:bottom w:val="single" w:sz="4" w:space="0" w:color="auto"/>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52.6</w:t>
            </w:r>
          </w:p>
        </w:tc>
        <w:tc>
          <w:tcPr>
            <w:tcW w:w="1013" w:type="dxa"/>
            <w:tcBorders>
              <w:top w:val="single" w:sz="12" w:space="0" w:color="auto"/>
              <w:left w:val="single" w:sz="12" w:space="0" w:color="auto"/>
              <w:bottom w:val="single" w:sz="4" w:space="0" w:color="auto"/>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5.39</w:t>
            </w:r>
          </w:p>
        </w:tc>
        <w:tc>
          <w:tcPr>
            <w:tcW w:w="810" w:type="dxa"/>
            <w:tcBorders>
              <w:top w:val="single" w:sz="12" w:space="0" w:color="auto"/>
              <w:left w:val="single" w:sz="12" w:space="0" w:color="auto"/>
              <w:bottom w:val="single" w:sz="4" w:space="0" w:color="auto"/>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17%</w:t>
            </w:r>
          </w:p>
        </w:tc>
        <w:tc>
          <w:tcPr>
            <w:tcW w:w="810" w:type="dxa"/>
            <w:tcBorders>
              <w:top w:val="single" w:sz="12" w:space="0" w:color="auto"/>
              <w:left w:val="single" w:sz="12" w:space="0" w:color="auto"/>
              <w:bottom w:val="single" w:sz="4" w:space="0" w:color="auto"/>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69%</w:t>
            </w:r>
          </w:p>
        </w:tc>
        <w:tc>
          <w:tcPr>
            <w:tcW w:w="810" w:type="dxa"/>
            <w:tcBorders>
              <w:top w:val="single" w:sz="12" w:space="0" w:color="auto"/>
              <w:left w:val="single" w:sz="2" w:space="0" w:color="auto"/>
              <w:bottom w:val="single" w:sz="4" w:space="0" w:color="auto"/>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14%</w:t>
            </w:r>
          </w:p>
        </w:tc>
      </w:tr>
      <w:tr w:rsidR="00690B72" w:rsidTr="00055212">
        <w:trPr>
          <w:trHeight w:hRule="exact" w:val="263"/>
        </w:trPr>
        <w:tc>
          <w:tcPr>
            <w:cnfStyle w:val="001000000000" w:firstRow="0" w:lastRow="0" w:firstColumn="1" w:lastColumn="0" w:oddVBand="0" w:evenVBand="0" w:oddHBand="0" w:evenHBand="0" w:firstRowFirstColumn="0" w:firstRowLastColumn="0" w:lastRowFirstColumn="0" w:lastRowLastColumn="0"/>
            <w:tcW w:w="1725" w:type="dxa"/>
            <w:tcBorders>
              <w:top w:val="single" w:sz="4" w:space="0" w:color="auto"/>
              <w:left w:val="single" w:sz="12" w:space="0" w:color="auto"/>
              <w:bottom w:val="single" w:sz="4" w:space="0" w:color="auto"/>
              <w:right w:val="single" w:sz="12" w:space="0" w:color="auto"/>
            </w:tcBorders>
            <w:hideMark/>
          </w:tcPr>
          <w:p w:rsidR="00690B72" w:rsidRPr="00055212" w:rsidRDefault="00690B72" w:rsidP="00055212">
            <w:pPr>
              <w:pStyle w:val="Tabletext"/>
              <w:rPr>
                <w:b w:val="0"/>
                <w:lang w:val="en-US" w:eastAsia="en-US"/>
              </w:rPr>
            </w:pPr>
            <w:r w:rsidRPr="00055212">
              <w:rPr>
                <w:b w:val="0"/>
                <w:lang w:val="en-US" w:eastAsia="en-US"/>
              </w:rPr>
              <w:t>Satisfaction</w:t>
            </w:r>
          </w:p>
        </w:tc>
        <w:tc>
          <w:tcPr>
            <w:tcW w:w="703" w:type="dxa"/>
            <w:tcBorders>
              <w:top w:val="single" w:sz="4" w:space="0" w:color="auto"/>
              <w:left w:val="single" w:sz="12" w:space="0" w:color="auto"/>
              <w:bottom w:val="single" w:sz="4" w:space="0" w:color="auto"/>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0.79</w:t>
            </w:r>
          </w:p>
        </w:tc>
        <w:tc>
          <w:tcPr>
            <w:tcW w:w="1013" w:type="dxa"/>
            <w:tcBorders>
              <w:top w:val="single" w:sz="4" w:space="0" w:color="auto"/>
              <w:left w:val="single" w:sz="12" w:space="0" w:color="auto"/>
              <w:bottom w:val="single" w:sz="4" w:space="0" w:color="auto"/>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4.58</w:t>
            </w:r>
          </w:p>
        </w:tc>
        <w:tc>
          <w:tcPr>
            <w:tcW w:w="810" w:type="dxa"/>
            <w:tcBorders>
              <w:top w:val="single" w:sz="4" w:space="0" w:color="auto"/>
              <w:left w:val="single" w:sz="12" w:space="0" w:color="auto"/>
              <w:bottom w:val="single" w:sz="4" w:space="0" w:color="auto"/>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52%</w:t>
            </w:r>
          </w:p>
        </w:tc>
        <w:tc>
          <w:tcPr>
            <w:tcW w:w="810" w:type="dxa"/>
            <w:tcBorders>
              <w:top w:val="single" w:sz="4" w:space="0" w:color="auto"/>
              <w:left w:val="single" w:sz="12" w:space="0" w:color="auto"/>
              <w:bottom w:val="single" w:sz="4" w:space="0" w:color="auto"/>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43%</w:t>
            </w:r>
          </w:p>
        </w:tc>
        <w:tc>
          <w:tcPr>
            <w:tcW w:w="810" w:type="dxa"/>
            <w:tcBorders>
              <w:top w:val="single" w:sz="4" w:space="0" w:color="auto"/>
              <w:left w:val="single" w:sz="2" w:space="0" w:color="auto"/>
              <w:bottom w:val="single" w:sz="4" w:space="0" w:color="auto"/>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5%</w:t>
            </w:r>
          </w:p>
        </w:tc>
      </w:tr>
      <w:tr w:rsidR="00690B72" w:rsidTr="00055212">
        <w:trPr>
          <w:trHeight w:hRule="exact" w:val="371"/>
        </w:trPr>
        <w:tc>
          <w:tcPr>
            <w:cnfStyle w:val="001000000000" w:firstRow="0" w:lastRow="0" w:firstColumn="1" w:lastColumn="0" w:oddVBand="0" w:evenVBand="0" w:oddHBand="0" w:evenHBand="0" w:firstRowFirstColumn="0" w:firstRowLastColumn="0" w:lastRowFirstColumn="0" w:lastRowLastColumn="0"/>
            <w:tcW w:w="1725" w:type="dxa"/>
            <w:tcBorders>
              <w:top w:val="single" w:sz="4" w:space="0" w:color="auto"/>
              <w:left w:val="single" w:sz="12" w:space="0" w:color="auto"/>
              <w:bottom w:val="single" w:sz="12" w:space="0" w:color="auto"/>
              <w:right w:val="single" w:sz="12" w:space="0" w:color="auto"/>
            </w:tcBorders>
            <w:hideMark/>
          </w:tcPr>
          <w:p w:rsidR="00690B72" w:rsidRPr="00055212" w:rsidRDefault="00690B72" w:rsidP="00055212">
            <w:pPr>
              <w:pStyle w:val="Tabletext"/>
              <w:rPr>
                <w:b w:val="0"/>
                <w:lang w:val="en-US" w:eastAsia="en-US"/>
              </w:rPr>
            </w:pPr>
            <w:r w:rsidRPr="00055212">
              <w:rPr>
                <w:b w:val="0"/>
                <w:lang w:val="en-US" w:eastAsia="en-US"/>
              </w:rPr>
              <w:t>Risk Perception</w:t>
            </w:r>
          </w:p>
        </w:tc>
        <w:tc>
          <w:tcPr>
            <w:tcW w:w="703" w:type="dxa"/>
            <w:tcBorders>
              <w:top w:val="single" w:sz="4" w:space="0" w:color="auto"/>
              <w:left w:val="single" w:sz="12" w:space="0" w:color="auto"/>
              <w:bottom w:val="single" w:sz="12" w:space="0" w:color="auto"/>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16.57</w:t>
            </w:r>
          </w:p>
        </w:tc>
        <w:tc>
          <w:tcPr>
            <w:tcW w:w="1013" w:type="dxa"/>
            <w:tcBorders>
              <w:top w:val="single" w:sz="4" w:space="0" w:color="auto"/>
              <w:left w:val="single" w:sz="12" w:space="0" w:color="auto"/>
              <w:bottom w:val="single" w:sz="12" w:space="0" w:color="auto"/>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3.75</w:t>
            </w:r>
          </w:p>
        </w:tc>
        <w:tc>
          <w:tcPr>
            <w:tcW w:w="810" w:type="dxa"/>
            <w:tcBorders>
              <w:top w:val="single" w:sz="4" w:space="0" w:color="auto"/>
              <w:left w:val="single" w:sz="12" w:space="0" w:color="auto"/>
              <w:bottom w:val="single" w:sz="12" w:space="0" w:color="auto"/>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25%</w:t>
            </w:r>
          </w:p>
        </w:tc>
        <w:tc>
          <w:tcPr>
            <w:tcW w:w="810" w:type="dxa"/>
            <w:tcBorders>
              <w:top w:val="single" w:sz="4" w:space="0" w:color="auto"/>
              <w:left w:val="single" w:sz="12" w:space="0" w:color="auto"/>
              <w:bottom w:val="single" w:sz="12" w:space="0" w:color="auto"/>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44%</w:t>
            </w:r>
          </w:p>
        </w:tc>
        <w:tc>
          <w:tcPr>
            <w:tcW w:w="810" w:type="dxa"/>
            <w:tcBorders>
              <w:top w:val="single" w:sz="4" w:space="0" w:color="auto"/>
              <w:left w:val="single" w:sz="2" w:space="0" w:color="auto"/>
              <w:bottom w:val="single" w:sz="12" w:space="0" w:color="auto"/>
              <w:right w:val="single" w:sz="12" w:space="0" w:color="auto"/>
            </w:tcBorders>
            <w:hideMark/>
          </w:tcPr>
          <w:p w:rsidR="00690B72" w:rsidRPr="00055212" w:rsidRDefault="00690B72" w:rsidP="00055212">
            <w:pPr>
              <w:pStyle w:val="Tabletext"/>
              <w:cnfStyle w:val="000000000000" w:firstRow="0" w:lastRow="0" w:firstColumn="0" w:lastColumn="0" w:oddVBand="0" w:evenVBand="0" w:oddHBand="0" w:evenHBand="0" w:firstRowFirstColumn="0" w:firstRowLastColumn="0" w:lastRowFirstColumn="0" w:lastRowLastColumn="0"/>
              <w:rPr>
                <w:lang w:val="en-US" w:eastAsia="en-US"/>
              </w:rPr>
            </w:pPr>
            <w:r w:rsidRPr="00055212">
              <w:rPr>
                <w:lang w:val="en-US" w:eastAsia="en-US"/>
              </w:rPr>
              <w:t>31%</w:t>
            </w:r>
          </w:p>
        </w:tc>
      </w:tr>
    </w:tbl>
    <w:p w:rsidR="00690B72" w:rsidRDefault="00690B72" w:rsidP="00690B72">
      <w:pPr>
        <w:widowControl w:val="0"/>
        <w:ind w:right="-1" w:firstLine="0"/>
        <w:rPr>
          <w:rFonts w:ascii="Arial Narrow" w:hAnsi="Arial Narrow"/>
          <w:color w:val="000000" w:themeColor="text1"/>
          <w:szCs w:val="22"/>
          <w:lang w:val="en-GB" w:eastAsia="en-GB"/>
        </w:rPr>
      </w:pPr>
    </w:p>
    <w:p w:rsidR="00690B72" w:rsidRPr="00F45642" w:rsidRDefault="00690B72" w:rsidP="00F45642">
      <w:pPr>
        <w:widowControl w:val="0"/>
        <w:spacing w:line="-240" w:lineRule="auto"/>
      </w:pPr>
      <w:r w:rsidRPr="00F45642">
        <w:t>Furthermore, the results in table 2 are explained as follows:</w:t>
      </w:r>
    </w:p>
    <w:p w:rsidR="00690B72" w:rsidRPr="00F45642" w:rsidRDefault="00690B72" w:rsidP="00F45642">
      <w:pPr>
        <w:pStyle w:val="Firstparagraph"/>
        <w:numPr>
          <w:ilvl w:val="0"/>
          <w:numId w:val="8"/>
        </w:numPr>
        <w:ind w:left="283" w:hanging="283"/>
      </w:pPr>
      <w:r w:rsidRPr="00F45642">
        <w:t xml:space="preserve"> 17% of the respondents gave an assessment of the preference variables in the high category, 69% in the middle category, and 14% were found in the low category. The data shows that the majority of respondents were in the middle category, therefore, it can be concluded that the level of the community’s preference for traditional medicine products was fairly good. </w:t>
      </w:r>
    </w:p>
    <w:p w:rsidR="00690B72" w:rsidRPr="00F45642" w:rsidRDefault="00690B72" w:rsidP="00F45642">
      <w:pPr>
        <w:pStyle w:val="Firstparagraph"/>
        <w:numPr>
          <w:ilvl w:val="0"/>
          <w:numId w:val="8"/>
        </w:numPr>
        <w:ind w:left="283" w:hanging="283"/>
      </w:pPr>
      <w:r w:rsidRPr="00F45642">
        <w:t>52% of the respondents gave an assessment of the satisfaction variable in the high category, 43% in the middle category, and 5% were in the low category. The data shows that most respondents assessed the satisfaction variable in the high category, thus, it can be concluded that the level of community satisfaction with traditional medicine products was very good.</w:t>
      </w:r>
    </w:p>
    <w:p w:rsidR="00690B72" w:rsidRPr="00F45642" w:rsidRDefault="00690B72" w:rsidP="00F45642">
      <w:pPr>
        <w:pStyle w:val="Firstparagraph"/>
        <w:numPr>
          <w:ilvl w:val="0"/>
          <w:numId w:val="8"/>
        </w:numPr>
        <w:ind w:left="283" w:hanging="283"/>
      </w:pPr>
      <w:r w:rsidRPr="00F45642">
        <w:t xml:space="preserve">There were 25% of respondents that gave an assessment of the risk perception variables in the high category, 44% respondents in the middle category, and up to 31% were in the low category. The data shows that the majority of respondents assessed the risk perception of traditional medicine products as being in the middle category. This means that the people considered the risk of consuming traditional medicine remained fairly low. </w:t>
      </w:r>
    </w:p>
    <w:p w:rsidR="00690B72" w:rsidRPr="00F45642" w:rsidRDefault="00690B72" w:rsidP="00F45642">
      <w:pPr>
        <w:pStyle w:val="Heading2"/>
      </w:pPr>
      <w:r w:rsidRPr="00F45642">
        <w:rPr>
          <w:i w:val="0"/>
        </w:rPr>
        <w:t>3.3.</w:t>
      </w:r>
      <w:r w:rsidRPr="00F45642">
        <w:tab/>
        <w:t>Compare Means Analysis</w:t>
      </w:r>
    </w:p>
    <w:p w:rsidR="00690B72" w:rsidRPr="00F45642" w:rsidRDefault="002B1A68" w:rsidP="002B1A68">
      <w:pPr>
        <w:pStyle w:val="Firstparagraph"/>
        <w:rPr>
          <w:b/>
        </w:rPr>
      </w:pPr>
      <w:r>
        <w:rPr>
          <w:rFonts w:asciiTheme="minorHAnsi" w:eastAsiaTheme="minorHAnsi" w:hAnsiTheme="minorHAnsi" w:cstheme="minorBidi"/>
          <w:noProof/>
        </w:rPr>
        <w:drawing>
          <wp:anchor distT="0" distB="0" distL="114300" distR="114300" simplePos="0" relativeHeight="251659264" behindDoc="0" locked="0" layoutInCell="1" allowOverlap="1" wp14:anchorId="1161E3B0" wp14:editId="73689B32">
            <wp:simplePos x="0" y="0"/>
            <wp:positionH relativeFrom="margin">
              <wp:posOffset>300990</wp:posOffset>
            </wp:positionH>
            <wp:positionV relativeFrom="paragraph">
              <wp:posOffset>536575</wp:posOffset>
            </wp:positionV>
            <wp:extent cx="4801235" cy="1809750"/>
            <wp:effectExtent l="0" t="0" r="0" b="0"/>
            <wp:wrapTopAndBottom/>
            <wp:docPr id="1" name="Picture 1" descr="Tabel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el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1235" cy="1809750"/>
                    </a:xfrm>
                    <a:prstGeom prst="rect">
                      <a:avLst/>
                    </a:prstGeom>
                    <a:noFill/>
                  </pic:spPr>
                </pic:pic>
              </a:graphicData>
            </a:graphic>
            <wp14:sizeRelH relativeFrom="page">
              <wp14:pctWidth>0</wp14:pctWidth>
            </wp14:sizeRelH>
            <wp14:sizeRelV relativeFrom="page">
              <wp14:pctHeight>0</wp14:pctHeight>
            </wp14:sizeRelV>
          </wp:anchor>
        </w:drawing>
      </w:r>
      <w:r w:rsidR="00690B72" w:rsidRPr="00F45642">
        <w:t>The average of all demographic segmentation groups was compared to the variables of preference, satisfaction and risk perception of the community towards traditional medicine products. Thus, the results are presented in Table 3.Based on the table, the variables are described as follows:</w:t>
      </w:r>
    </w:p>
    <w:p w:rsidR="00690B72" w:rsidRPr="00F45642" w:rsidRDefault="00690B72" w:rsidP="00F45642">
      <w:pPr>
        <w:pStyle w:val="Firstparagraph"/>
        <w:ind w:left="283" w:hanging="283"/>
      </w:pPr>
      <w:r>
        <w:rPr>
          <w:rFonts w:ascii="Arial Narrow" w:hAnsi="Arial Narrow"/>
          <w:color w:val="000000" w:themeColor="text1"/>
          <w:lang w:eastAsia="en-GB"/>
        </w:rPr>
        <w:t xml:space="preserve">1 </w:t>
      </w:r>
      <w:r>
        <w:rPr>
          <w:rFonts w:ascii="Arial Narrow" w:hAnsi="Arial Narrow"/>
          <w:color w:val="000000" w:themeColor="text1"/>
          <w:lang w:eastAsia="en-GB"/>
        </w:rPr>
        <w:tab/>
      </w:r>
      <w:r w:rsidRPr="00F45642">
        <w:t xml:space="preserve">In terms of gender, women tend to have a better level of preference, satisfaction and risk perception of traditional medicine products compared to men. </w:t>
      </w:r>
    </w:p>
    <w:p w:rsidR="00690B72" w:rsidRPr="00F45642" w:rsidRDefault="00690B72" w:rsidP="00F45642">
      <w:pPr>
        <w:pStyle w:val="Firstparagraph"/>
        <w:ind w:left="283" w:hanging="283"/>
      </w:pPr>
      <w:r w:rsidRPr="00F45642">
        <w:lastRenderedPageBreak/>
        <w:t xml:space="preserve">2 </w:t>
      </w:r>
      <w:r w:rsidRPr="00F45642">
        <w:tab/>
        <w:t xml:space="preserve">In term of age, the group of 21-30 years tends to have a higher level of preference, satisfaction and perception of traditional medicine products than the other age groups. </w:t>
      </w:r>
    </w:p>
    <w:p w:rsidR="00690B72" w:rsidRPr="00F45642" w:rsidRDefault="00690B72" w:rsidP="00F45642">
      <w:pPr>
        <w:pStyle w:val="Firstparagraph"/>
        <w:ind w:left="283" w:hanging="283"/>
      </w:pPr>
      <w:r w:rsidRPr="00F45642">
        <w:t xml:space="preserve">3 </w:t>
      </w:r>
      <w:r w:rsidRPr="00F45642">
        <w:tab/>
        <w:t xml:space="preserve">In regard to occupation, respondents who are government employees have a better level of preference and risk perception than other occupational groups, while students tend to have greater levels of satisfaction.  </w:t>
      </w:r>
    </w:p>
    <w:p w:rsidR="00690B72" w:rsidRPr="00F45642" w:rsidRDefault="00690B72" w:rsidP="00F45642">
      <w:pPr>
        <w:pStyle w:val="Firstparagraph"/>
        <w:ind w:left="283" w:hanging="283"/>
      </w:pPr>
      <w:r w:rsidRPr="00F45642">
        <w:t xml:space="preserve">4 </w:t>
      </w:r>
      <w:r w:rsidRPr="00F45642">
        <w:tab/>
        <w:t>Concerning income, the group of respondents with an income level of Rp. 1 million - Rp. 2,499 million have a higher level of preference and satisfaction. While in terms of risk perception, groups with an income level of Rp. 2.49 - Rp. 4.99 million have a greater level of risk perception for traditional medicine products. Thus, it can be posited that the potential consumers for these products are in the Rp. 1 million - Rp. 4.9 million income group.</w:t>
      </w:r>
    </w:p>
    <w:p w:rsidR="002B1A68" w:rsidRDefault="00690B72" w:rsidP="002B1A68">
      <w:pPr>
        <w:pStyle w:val="Firstparagraph"/>
        <w:ind w:left="283" w:hanging="283"/>
      </w:pPr>
      <w:r w:rsidRPr="00F45642">
        <w:t xml:space="preserve">5 </w:t>
      </w:r>
      <w:r w:rsidRPr="00F45642">
        <w:tab/>
        <w:t xml:space="preserve">Regarding education, respondents with an undergraduate education level tend to have higher preference and satisfaction levels than other groups while those with elementary/ junior/senior high school education have the highest satisfaction. </w:t>
      </w:r>
    </w:p>
    <w:p w:rsidR="00690B72" w:rsidRPr="002B1A68" w:rsidRDefault="002B1A68" w:rsidP="002B1A68">
      <w:pPr>
        <w:pStyle w:val="Firstparagraph"/>
        <w:ind w:left="283" w:hanging="283"/>
      </w:pPr>
      <w:r>
        <w:t xml:space="preserve">6.  </w:t>
      </w:r>
      <w:r w:rsidR="00690B72" w:rsidRPr="00F45642">
        <w:t>Based on the highest results of respondent evaluations on demographics, the groups which can be used as market potential for traditional medicine products are the female gender, age group of 21-30 years, the occupations of government employee and students, income between Rp. 1 million - Rp. 4.9 Million, and education level from elementary to undergraduate.</w:t>
      </w:r>
    </w:p>
    <w:p w:rsidR="00690B72" w:rsidRPr="00F45642" w:rsidRDefault="00690B72" w:rsidP="00F45642">
      <w:pPr>
        <w:pStyle w:val="Heading1"/>
        <w:numPr>
          <w:ilvl w:val="0"/>
          <w:numId w:val="8"/>
        </w:numPr>
        <w:ind w:left="0" w:firstLine="0"/>
      </w:pPr>
      <w:r w:rsidRPr="00F45642">
        <w:t>CONCLUSION</w:t>
      </w:r>
    </w:p>
    <w:p w:rsidR="00690B72" w:rsidRPr="00F45642" w:rsidRDefault="00690B72" w:rsidP="00F45642">
      <w:pPr>
        <w:pStyle w:val="Firstparagraph"/>
      </w:pPr>
      <w:r w:rsidRPr="00F45642">
        <w:t>From the results of the data analysis and research findings, some conclusions are made:</w:t>
      </w:r>
    </w:p>
    <w:p w:rsidR="00690B72" w:rsidRPr="00F45642" w:rsidRDefault="00690B72" w:rsidP="00F45642">
      <w:pPr>
        <w:pStyle w:val="Firstparagraph"/>
        <w:ind w:left="283" w:hanging="283"/>
      </w:pPr>
      <w:r w:rsidRPr="00F45642">
        <w:t>1) The preference, satisfaction, and risk perception levels of the Banjarmasin community on green products in the traditional medicine sector are fairly good because the majority give an assessment in the middle category.</w:t>
      </w:r>
    </w:p>
    <w:p w:rsidR="00690B72" w:rsidRPr="00F45642" w:rsidRDefault="00690B72" w:rsidP="00F45642">
      <w:pPr>
        <w:pStyle w:val="Firstparagraph"/>
        <w:ind w:left="283" w:hanging="283"/>
      </w:pPr>
      <w:r w:rsidRPr="00F45642">
        <w:t>2) Potential groups that can be used as the target market for traditional medicine products are the female gender, the age group of 21-30, government employees and students, income between Rp. 1 Million - Rp. 4.9 Million, and the elementary to undergraduate education level.</w:t>
      </w:r>
    </w:p>
    <w:p w:rsidR="00690B72" w:rsidRPr="00F45642" w:rsidRDefault="00690B72" w:rsidP="00F45642">
      <w:pPr>
        <w:pStyle w:val="Heading1"/>
      </w:pPr>
      <w:r w:rsidRPr="00F45642">
        <w:t>REFERENCES</w:t>
      </w:r>
    </w:p>
    <w:p w:rsidR="00690B72" w:rsidRPr="00F45642" w:rsidRDefault="00690B72" w:rsidP="00F45642">
      <w:pPr>
        <w:pStyle w:val="Referencetext"/>
        <w:widowControl w:val="0"/>
        <w:spacing w:line="-220" w:lineRule="auto"/>
        <w:ind w:left="284" w:hanging="284"/>
      </w:pPr>
      <w:r w:rsidRPr="00F45642">
        <w:t xml:space="preserve">Aryanti, T. Utami,  R.D. and Gunarsih. </w:t>
      </w:r>
      <w:r w:rsidR="002B1A68">
        <w:t>(</w:t>
      </w:r>
      <w:r w:rsidRPr="00F45642">
        <w:t>2014</w:t>
      </w:r>
      <w:r w:rsidR="002B1A68">
        <w:t>)</w:t>
      </w:r>
      <w:r w:rsidRPr="00F45642">
        <w:t>.   Pengaruh Pengetahuan, Kepedulian, dan Sikap pada Lingkungan terhadap Minat Pembelian Produk Hijau.Media Trend.9 ( 2) : 151-161.</w:t>
      </w:r>
    </w:p>
    <w:p w:rsidR="00690B72" w:rsidRPr="00F45642" w:rsidRDefault="00690B72" w:rsidP="00F45642">
      <w:pPr>
        <w:pStyle w:val="Referencetext"/>
        <w:widowControl w:val="0"/>
        <w:spacing w:line="-220" w:lineRule="auto"/>
        <w:ind w:left="284" w:hanging="284"/>
      </w:pPr>
      <w:r w:rsidRPr="00F45642">
        <w:t>Girard, T.</w:t>
      </w:r>
      <w:r w:rsidR="002B1A68">
        <w:t>(</w:t>
      </w:r>
      <w:r w:rsidRPr="00F45642">
        <w:t>2010</w:t>
      </w:r>
      <w:r w:rsidR="002B1A68">
        <w:t>)</w:t>
      </w:r>
      <w:r w:rsidRPr="00F45642">
        <w:t>. The Role of Demographics on The Susceptibility to Social Influence: A Pretest Study.  Journal of Marketing Development and Competitiveness. 5(1) : 9 - 22.</w:t>
      </w:r>
    </w:p>
    <w:p w:rsidR="00690B72" w:rsidRPr="00F45642" w:rsidRDefault="00690B72" w:rsidP="00F45642">
      <w:pPr>
        <w:pStyle w:val="Referencetext"/>
        <w:widowControl w:val="0"/>
        <w:spacing w:line="-220" w:lineRule="auto"/>
        <w:ind w:left="284" w:hanging="284"/>
      </w:pPr>
      <w:r w:rsidRPr="00F45642">
        <w:t>Hamzan, W. and Bayu, R. (2013).  Hubungan Variabel Demografi dengan Respon Konsumen Terhadap Iklan Merk Top Coffe di Kota Denpasar.  Jurnal Ekonomi, 2(9) : 1036-1052.</w:t>
      </w:r>
    </w:p>
    <w:p w:rsidR="00690B72" w:rsidRPr="00F45642" w:rsidRDefault="00690B72" w:rsidP="00F45642">
      <w:pPr>
        <w:pStyle w:val="Referencetext"/>
        <w:widowControl w:val="0"/>
        <w:spacing w:line="-220" w:lineRule="auto"/>
        <w:ind w:left="284" w:hanging="284"/>
      </w:pPr>
      <w:r w:rsidRPr="00F45642">
        <w:t>Kotler, P. And Armstrong, G. (2012).  Principles of Marketing. Edisi keempat belas.  Pearson-Prentice Hall.: New Jersey.</w:t>
      </w:r>
    </w:p>
    <w:p w:rsidR="00690B72" w:rsidRPr="00F45642" w:rsidRDefault="00690B72" w:rsidP="00F45642">
      <w:pPr>
        <w:pStyle w:val="Referencetext"/>
        <w:widowControl w:val="0"/>
        <w:spacing w:line="-220" w:lineRule="auto"/>
        <w:ind w:left="284" w:hanging="284"/>
      </w:pPr>
      <w:r w:rsidRPr="00F45642">
        <w:t>Kim, S. dan Seock, Y. K.  (2009).   Impacts Of Health And Environmental Consciousness On Young Female Consumers' Attitude Towards And Purchase Of Natural Beauty Products. International Journal Of Consumer Studies, 33(6) : 627-638.</w:t>
      </w:r>
    </w:p>
    <w:p w:rsidR="00690B72" w:rsidRPr="00F45642" w:rsidRDefault="00690B72" w:rsidP="00F45642">
      <w:pPr>
        <w:pStyle w:val="Referencetext"/>
        <w:widowControl w:val="0"/>
        <w:spacing w:line="-220" w:lineRule="auto"/>
        <w:ind w:left="284" w:hanging="284"/>
      </w:pPr>
      <w:r w:rsidRPr="00F45642">
        <w:t>Lee, K.H. (2009).  Why and how to adopt green management into business organizations?: The case study of Korean SMEs in manufacturing industry.  Management Decision. 47(7) : 1101-1121.</w:t>
      </w:r>
    </w:p>
    <w:p w:rsidR="00690B72" w:rsidRPr="00F45642" w:rsidRDefault="00690B72" w:rsidP="00F45642">
      <w:pPr>
        <w:pStyle w:val="Referencetext"/>
        <w:widowControl w:val="0"/>
        <w:spacing w:line="-220" w:lineRule="auto"/>
        <w:ind w:left="284" w:hanging="284"/>
      </w:pPr>
      <w:r w:rsidRPr="00F45642">
        <w:t>Samin, R.  Rahman, M. S. and  Javadian, J.  (2013). Consumers Perceptual Differences in Buying Cosmetic Products : Malaysia Perspective. International Journal of Scientific Research, 16(11) : 345 - 355.</w:t>
      </w:r>
    </w:p>
    <w:p w:rsidR="00690B72" w:rsidRPr="00F45642" w:rsidRDefault="00690B72" w:rsidP="00F45642">
      <w:pPr>
        <w:pStyle w:val="Referencetext"/>
        <w:widowControl w:val="0"/>
        <w:spacing w:line="-220" w:lineRule="auto"/>
        <w:ind w:left="284" w:hanging="284"/>
      </w:pPr>
      <w:r w:rsidRPr="00F45642">
        <w:t>Schiffman, L.G. and Kanuk, L.L.  (2008).  Perilaku Konsumen.. Edisi Ketujuh. PT. Indeks. Jakarta.</w:t>
      </w:r>
    </w:p>
    <w:p w:rsidR="00690B72" w:rsidRPr="00F45642" w:rsidRDefault="00690B72" w:rsidP="00F45642">
      <w:pPr>
        <w:pStyle w:val="Referencetext"/>
        <w:widowControl w:val="0"/>
        <w:spacing w:line="-220" w:lineRule="auto"/>
        <w:ind w:left="284" w:hanging="284"/>
      </w:pPr>
      <w:r w:rsidRPr="00F45642">
        <w:t>Tsakiridou, E., Mattas, K. and Bazoche, P., (2012). Consumers response on the labels of fresh fruits and related implications on pesticide use. Food Economics, 9(1-2) : 129-134.</w:t>
      </w:r>
    </w:p>
    <w:p w:rsidR="00690B72" w:rsidRPr="00F45642" w:rsidRDefault="00690B72" w:rsidP="00F45642">
      <w:pPr>
        <w:pStyle w:val="Referencetext"/>
        <w:widowControl w:val="0"/>
        <w:spacing w:line="-220" w:lineRule="auto"/>
        <w:ind w:left="284" w:hanging="284"/>
      </w:pPr>
      <w:r w:rsidRPr="00F45642">
        <w:t>Yahya.   (2011).   Pengaruh Variabel Demografi Konsumen Terhadap Keputusan Pembelian Produk. Jurnal Ekonomi. 8(1) : 23-40.</w:t>
      </w:r>
    </w:p>
    <w:p w:rsidR="00690B72" w:rsidRPr="00F45642" w:rsidRDefault="00690B72" w:rsidP="00F45642">
      <w:pPr>
        <w:pStyle w:val="Referencetext"/>
        <w:widowControl w:val="0"/>
        <w:spacing w:line="-220" w:lineRule="auto"/>
        <w:ind w:left="284" w:hanging="284"/>
      </w:pPr>
      <w:r w:rsidRPr="00F45642">
        <w:t>Zulfikar, R., and Mayvita, P.A, (2017).   Tingkat Kepercayaan dan Minat Beli Masyarakat Banjarmasin Terhadap Produk Hijau Berdasarkan Segmentasi Demografis.   Proceeding of National Conference on Asbis.  2(1) : 410 – 426.</w:t>
      </w:r>
    </w:p>
    <w:p w:rsidR="00690B72" w:rsidRPr="00F45642" w:rsidRDefault="00690B72" w:rsidP="00F45642">
      <w:pPr>
        <w:pStyle w:val="Referencetext"/>
        <w:widowControl w:val="0"/>
        <w:spacing w:line="-220" w:lineRule="auto"/>
        <w:ind w:left="284" w:hanging="284"/>
      </w:pPr>
      <w:r w:rsidRPr="00F45642">
        <w:t>Zulfikar, R and Mayvita, PA. (2018). The Relationship of Perceived Value, Perceived Risk, and Level of Trust Towards Green Products of Fast Moving Consumer Goods Purchase Intention. JEMA: Jurnal Ilmiah Bidang Akuntansi dan Manajemen, Vol. 15, No. 2 : 85-97.</w:t>
      </w:r>
    </w:p>
    <w:sectPr w:rsidR="00690B72" w:rsidRPr="00F45642">
      <w:type w:val="continuous"/>
      <w:pgSz w:w="11907" w:h="16840" w:code="9"/>
      <w:pgMar w:top="1418" w:right="1701" w:bottom="1701" w:left="1701" w:header="0" w:footer="0" w:gutter="0"/>
      <w:cols w:space="284"/>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001" w:rsidRDefault="00194001">
      <w:pPr>
        <w:spacing w:line="240" w:lineRule="auto"/>
      </w:pPr>
      <w:r>
        <w:separator/>
      </w:r>
    </w:p>
  </w:endnote>
  <w:endnote w:type="continuationSeparator" w:id="0">
    <w:p w:rsidR="00194001" w:rsidRDefault="001940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E1" w:rsidRDefault="00194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E1" w:rsidRDefault="001940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E1" w:rsidRDefault="00194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001" w:rsidRDefault="00194001">
      <w:pPr>
        <w:spacing w:line="240" w:lineRule="auto"/>
      </w:pPr>
      <w:r>
        <w:separator/>
      </w:r>
    </w:p>
  </w:footnote>
  <w:footnote w:type="continuationSeparator" w:id="0">
    <w:p w:rsidR="00194001" w:rsidRDefault="001940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E1" w:rsidRDefault="00194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E1" w:rsidRDefault="001940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E1" w:rsidRDefault="00194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7088B96"/>
    <w:lvl w:ilvl="0">
      <w:start w:val="1"/>
      <w:numFmt w:val="decimal"/>
      <w:lvlText w:val="%1"/>
      <w:legacy w:legacy="1" w:legacySpace="153" w:legacyIndent="0"/>
      <w:lvlJc w:val="left"/>
      <w:rPr>
        <w:rFonts w:ascii="Times New Roman" w:hAnsi="Times New Roman" w:hint="default"/>
        <w:b w:val="0"/>
        <w:i w:val="0"/>
        <w:sz w:val="22"/>
      </w:rPr>
    </w:lvl>
    <w:lvl w:ilvl="1">
      <w:start w:val="1"/>
      <w:numFmt w:val="decimal"/>
      <w:lvlText w:val="%1.%2"/>
      <w:legacy w:legacy="1" w:legacySpace="153" w:legacyIndent="0"/>
      <w:lvlJc w:val="left"/>
      <w:pPr>
        <w:ind w:left="0" w:firstLine="0"/>
      </w:pPr>
      <w:rPr>
        <w:rFonts w:ascii="Times New Roman" w:hAnsi="Times New Roman" w:hint="default"/>
        <w:b w:val="0"/>
        <w:i w:val="0"/>
        <w:sz w:val="22"/>
      </w:rPr>
    </w:lvl>
    <w:lvl w:ilvl="2">
      <w:start w:val="1"/>
      <w:numFmt w:val="decimal"/>
      <w:lvlText w:val="%1.%2.%3"/>
      <w:legacy w:legacy="1" w:legacySpace="153" w:legacyIndent="0"/>
      <w:lvlJc w:val="left"/>
      <w:pPr>
        <w:ind w:left="0" w:firstLine="0"/>
      </w:pPr>
      <w:rPr>
        <w:rFonts w:ascii="Times New Roman" w:hAnsi="Times New Roman" w:hint="default"/>
        <w:b w:val="0"/>
        <w:i w:val="0"/>
        <w:sz w:val="22"/>
      </w:rPr>
    </w:lvl>
    <w:lvl w:ilvl="3">
      <w:start w:val="1"/>
      <w:numFmt w:val="decimal"/>
      <w:lvlText w:val="%1.%2.%3.%4"/>
      <w:legacy w:legacy="1" w:legacySpace="153" w:legacyIndent="0"/>
      <w:lvlJc w:val="left"/>
      <w:pPr>
        <w:ind w:left="0" w:firstLine="0"/>
      </w:pPr>
      <w:rPr>
        <w:rFonts w:ascii="Times New Roman" w:hAnsi="Times New Roman" w:hint="default"/>
        <w:b w:val="0"/>
        <w:i w:val="0"/>
        <w:sz w:val="22"/>
      </w:rPr>
    </w:lvl>
    <w:lvl w:ilvl="4">
      <w:start w:val="1"/>
      <w:numFmt w:val="decimal"/>
      <w:lvlText w:val="(%5)"/>
      <w:legacy w:legacy="1" w:legacySpace="0" w:legacyIndent="708"/>
      <w:lvlJc w:val="left"/>
      <w:pPr>
        <w:ind w:left="708" w:hanging="708"/>
      </w:pPr>
    </w:lvl>
    <w:lvl w:ilvl="5">
      <w:start w:val="1"/>
      <w:numFmt w:val="lowerLetter"/>
      <w:lvlText w:val="(%6)"/>
      <w:legacy w:legacy="1" w:legacySpace="0" w:legacyIndent="708"/>
      <w:lvlJc w:val="left"/>
      <w:pPr>
        <w:ind w:left="1416" w:hanging="708"/>
      </w:pPr>
    </w:lvl>
    <w:lvl w:ilvl="6">
      <w:start w:val="1"/>
      <w:numFmt w:val="lowerRoman"/>
      <w:lvlText w:val="(%7)"/>
      <w:legacy w:legacy="1" w:legacySpace="0" w:legacyIndent="708"/>
      <w:lvlJc w:val="left"/>
      <w:pPr>
        <w:ind w:left="2124" w:hanging="708"/>
      </w:pPr>
    </w:lvl>
    <w:lvl w:ilvl="7">
      <w:start w:val="1"/>
      <w:numFmt w:val="lowerLetter"/>
      <w:lvlText w:val="(%8)"/>
      <w:legacy w:legacy="1" w:legacySpace="0" w:legacyIndent="708"/>
      <w:lvlJc w:val="left"/>
      <w:pPr>
        <w:ind w:left="2832" w:hanging="708"/>
      </w:pPr>
    </w:lvl>
    <w:lvl w:ilvl="8">
      <w:start w:val="1"/>
      <w:numFmt w:val="lowerRoman"/>
      <w:lvlText w:val="(%9)"/>
      <w:legacy w:legacy="1" w:legacySpace="0" w:legacyIndent="708"/>
      <w:lvlJc w:val="left"/>
      <w:pPr>
        <w:ind w:left="3540" w:hanging="708"/>
      </w:pPr>
    </w:lvl>
  </w:abstractNum>
  <w:abstractNum w:abstractNumId="1" w15:restartNumberingAfterBreak="0">
    <w:nsid w:val="FFFFFFFE"/>
    <w:multiLevelType w:val="singleLevel"/>
    <w:tmpl w:val="56BCBD70"/>
    <w:lvl w:ilvl="0">
      <w:numFmt w:val="decimal"/>
      <w:lvlText w:val="*"/>
      <w:lvlJc w:val="left"/>
    </w:lvl>
  </w:abstractNum>
  <w:abstractNum w:abstractNumId="2" w15:restartNumberingAfterBreak="0">
    <w:nsid w:val="12FE5286"/>
    <w:multiLevelType w:val="multilevel"/>
    <w:tmpl w:val="12FE5286"/>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B730720"/>
    <w:multiLevelType w:val="multilevel"/>
    <w:tmpl w:val="2B730720"/>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5ABC2181"/>
    <w:multiLevelType w:val="multilevel"/>
    <w:tmpl w:val="5ABC2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2EB183A"/>
    <w:multiLevelType w:val="multilevel"/>
    <w:tmpl w:val="62EB183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7A183ABE"/>
    <w:multiLevelType w:val="multilevel"/>
    <w:tmpl w:val="7A183AB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lvlOverride w:ilvl="0">
      <w:lvl w:ilvl="0">
        <w:start w:val="1"/>
        <w:numFmt w:val="bullet"/>
        <w:lvlText w:val=""/>
        <w:legacy w:legacy="1" w:legacySpace="0" w:legacyIndent="230"/>
        <w:lvlJc w:val="left"/>
        <w:pPr>
          <w:ind w:left="230" w:hanging="230"/>
        </w:pPr>
        <w:rPr>
          <w:rFonts w:ascii="Symbol" w:hAnsi="Symbol" w:hint="default"/>
        </w:rPr>
      </w:lvl>
    </w:lvlOverride>
  </w:num>
  <w:num w:numId="4">
    <w:abstractNumId w:val="3"/>
  </w:num>
  <w:num w:numId="5">
    <w:abstractNumId w:val="5"/>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72"/>
    <w:rsid w:val="00055212"/>
    <w:rsid w:val="00194001"/>
    <w:rsid w:val="002B1A68"/>
    <w:rsid w:val="004F224A"/>
    <w:rsid w:val="00664392"/>
    <w:rsid w:val="00690B72"/>
    <w:rsid w:val="006D6E74"/>
    <w:rsid w:val="00B90D98"/>
    <w:rsid w:val="00F4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5D92"/>
  <w15:chartTrackingRefBased/>
  <w15:docId w15:val="{04DFD3B6-5D20-4600-941B-8C2BC909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690B72"/>
    <w:pPr>
      <w:overflowPunct w:val="0"/>
      <w:autoSpaceDE w:val="0"/>
      <w:autoSpaceDN w:val="0"/>
      <w:adjustRightInd w:val="0"/>
      <w:spacing w:after="0" w:line="240" w:lineRule="exact"/>
      <w:ind w:firstLine="227"/>
      <w:jc w:val="both"/>
      <w:textAlignment w:val="baseline"/>
    </w:pPr>
    <w:rPr>
      <w:rFonts w:ascii="Times New Roman" w:eastAsia="Times New Roman" w:hAnsi="Times New Roman" w:cs="Times New Roman"/>
      <w:szCs w:val="20"/>
    </w:rPr>
  </w:style>
  <w:style w:type="paragraph" w:styleId="Heading1">
    <w:name w:val="heading 1"/>
    <w:aliases w:val="heading 1"/>
    <w:basedOn w:val="Normal"/>
    <w:next w:val="Firstparagraph"/>
    <w:link w:val="Heading1Char"/>
    <w:qFormat/>
    <w:rsid w:val="00690B72"/>
    <w:pPr>
      <w:keepNext/>
      <w:keepLines/>
      <w:suppressAutoHyphens/>
      <w:spacing w:before="480" w:after="240"/>
      <w:ind w:firstLine="0"/>
      <w:jc w:val="left"/>
      <w:outlineLvl w:val="0"/>
    </w:pPr>
    <w:rPr>
      <w:caps/>
    </w:rPr>
  </w:style>
  <w:style w:type="paragraph" w:styleId="Heading2">
    <w:name w:val="heading 2"/>
    <w:aliases w:val="heading 2"/>
    <w:basedOn w:val="Normal"/>
    <w:next w:val="Firstparagraph"/>
    <w:link w:val="Heading2Char"/>
    <w:qFormat/>
    <w:rsid w:val="00690B72"/>
    <w:pPr>
      <w:keepNext/>
      <w:keepLines/>
      <w:suppressAutoHyphens/>
      <w:spacing w:before="360" w:after="120"/>
      <w:ind w:firstLine="0"/>
      <w:jc w:val="left"/>
      <w:outlineLvl w:val="1"/>
    </w:pPr>
    <w:rPr>
      <w:i/>
    </w:rPr>
  </w:style>
  <w:style w:type="paragraph" w:styleId="Heading3">
    <w:name w:val="heading 3"/>
    <w:aliases w:val="heading 3"/>
    <w:basedOn w:val="Normal"/>
    <w:next w:val="Firstparagraph"/>
    <w:link w:val="Heading3Char"/>
    <w:qFormat/>
    <w:rsid w:val="00690B72"/>
    <w:pPr>
      <w:keepNext/>
      <w:keepLines/>
      <w:spacing w:before="240"/>
      <w:ind w:firstLine="0"/>
      <w:jc w:val="left"/>
      <w:outlineLvl w:val="2"/>
    </w:pPr>
    <w:rPr>
      <w:i/>
    </w:rPr>
  </w:style>
  <w:style w:type="paragraph" w:styleId="Heading4">
    <w:name w:val="heading 4"/>
    <w:aliases w:val="heading 4"/>
    <w:basedOn w:val="Normal"/>
    <w:next w:val="Firstparagraph"/>
    <w:link w:val="Heading4Char"/>
    <w:qFormat/>
    <w:rsid w:val="00690B72"/>
    <w:pPr>
      <w:keepNext/>
      <w:spacing w:before="240"/>
      <w:ind w:firstLine="0"/>
      <w:outlineLvl w:val="3"/>
    </w:pPr>
  </w:style>
  <w:style w:type="paragraph" w:styleId="Heading5">
    <w:name w:val="heading 5"/>
    <w:basedOn w:val="Normal"/>
    <w:next w:val="Normal"/>
    <w:link w:val="Heading5Char"/>
    <w:qFormat/>
    <w:rsid w:val="00690B72"/>
    <w:pPr>
      <w:spacing w:before="240" w:after="60"/>
      <w:ind w:firstLine="0"/>
      <w:outlineLvl w:val="4"/>
    </w:pPr>
    <w:rPr>
      <w:rFonts w:ascii="Arial" w:hAnsi="Arial"/>
    </w:rPr>
  </w:style>
  <w:style w:type="paragraph" w:styleId="Heading6">
    <w:name w:val="heading 6"/>
    <w:basedOn w:val="Normal"/>
    <w:next w:val="Normal"/>
    <w:link w:val="Heading6Char"/>
    <w:qFormat/>
    <w:rsid w:val="00690B72"/>
    <w:pPr>
      <w:spacing w:before="240" w:after="60"/>
      <w:ind w:firstLine="0"/>
      <w:outlineLvl w:val="5"/>
    </w:pPr>
    <w:rPr>
      <w:rFonts w:ascii="Arial" w:hAnsi="Arial"/>
      <w:i/>
    </w:rPr>
  </w:style>
  <w:style w:type="paragraph" w:styleId="Heading7">
    <w:name w:val="heading 7"/>
    <w:basedOn w:val="Normal"/>
    <w:next w:val="Normal"/>
    <w:link w:val="Heading7Char"/>
    <w:qFormat/>
    <w:rsid w:val="00690B72"/>
    <w:pPr>
      <w:spacing w:before="240" w:after="60"/>
      <w:ind w:firstLine="0"/>
      <w:outlineLvl w:val="6"/>
    </w:pPr>
    <w:rPr>
      <w:rFonts w:ascii="Arial" w:hAnsi="Arial"/>
      <w:sz w:val="20"/>
    </w:rPr>
  </w:style>
  <w:style w:type="paragraph" w:styleId="Heading8">
    <w:name w:val="heading 8"/>
    <w:basedOn w:val="Normal"/>
    <w:next w:val="Normal"/>
    <w:link w:val="Heading8Char"/>
    <w:qFormat/>
    <w:rsid w:val="00690B72"/>
    <w:pPr>
      <w:spacing w:before="240" w:after="60"/>
      <w:ind w:firstLine="0"/>
      <w:outlineLvl w:val="7"/>
    </w:pPr>
    <w:rPr>
      <w:rFonts w:ascii="Arial" w:hAnsi="Arial"/>
      <w:i/>
      <w:sz w:val="20"/>
    </w:rPr>
  </w:style>
  <w:style w:type="paragraph" w:styleId="Heading9">
    <w:name w:val="heading 9"/>
    <w:basedOn w:val="Normal"/>
    <w:next w:val="Normal"/>
    <w:link w:val="Heading9Char"/>
    <w:qFormat/>
    <w:rsid w:val="00690B72"/>
    <w:pPr>
      <w:spacing w:before="240" w:after="60"/>
      <w:ind w:firstLine="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rsid w:val="00690B72"/>
    <w:rPr>
      <w:rFonts w:ascii="Times New Roman" w:eastAsia="Times New Roman" w:hAnsi="Times New Roman" w:cs="Times New Roman"/>
      <w:caps/>
      <w:szCs w:val="20"/>
    </w:rPr>
  </w:style>
  <w:style w:type="character" w:customStyle="1" w:styleId="Heading2Char">
    <w:name w:val="Heading 2 Char"/>
    <w:aliases w:val="heading 2 Char"/>
    <w:basedOn w:val="DefaultParagraphFont"/>
    <w:link w:val="Heading2"/>
    <w:rsid w:val="00690B72"/>
    <w:rPr>
      <w:rFonts w:ascii="Times New Roman" w:eastAsia="Times New Roman" w:hAnsi="Times New Roman" w:cs="Times New Roman"/>
      <w:i/>
      <w:szCs w:val="20"/>
    </w:rPr>
  </w:style>
  <w:style w:type="character" w:customStyle="1" w:styleId="Heading3Char">
    <w:name w:val="Heading 3 Char"/>
    <w:aliases w:val="heading 3 Char"/>
    <w:basedOn w:val="DefaultParagraphFont"/>
    <w:link w:val="Heading3"/>
    <w:rsid w:val="00690B72"/>
    <w:rPr>
      <w:rFonts w:ascii="Times New Roman" w:eastAsia="Times New Roman" w:hAnsi="Times New Roman" w:cs="Times New Roman"/>
      <w:i/>
      <w:szCs w:val="20"/>
    </w:rPr>
  </w:style>
  <w:style w:type="character" w:customStyle="1" w:styleId="Heading4Char">
    <w:name w:val="Heading 4 Char"/>
    <w:aliases w:val="heading 4 Char"/>
    <w:basedOn w:val="DefaultParagraphFont"/>
    <w:link w:val="Heading4"/>
    <w:rsid w:val="00690B72"/>
    <w:rPr>
      <w:rFonts w:ascii="Times New Roman" w:eastAsia="Times New Roman" w:hAnsi="Times New Roman" w:cs="Times New Roman"/>
      <w:szCs w:val="20"/>
    </w:rPr>
  </w:style>
  <w:style w:type="character" w:customStyle="1" w:styleId="Heading5Char">
    <w:name w:val="Heading 5 Char"/>
    <w:basedOn w:val="DefaultParagraphFont"/>
    <w:link w:val="Heading5"/>
    <w:rsid w:val="00690B72"/>
    <w:rPr>
      <w:rFonts w:ascii="Arial" w:eastAsia="Times New Roman" w:hAnsi="Arial" w:cs="Times New Roman"/>
      <w:szCs w:val="20"/>
    </w:rPr>
  </w:style>
  <w:style w:type="character" w:customStyle="1" w:styleId="Heading6Char">
    <w:name w:val="Heading 6 Char"/>
    <w:basedOn w:val="DefaultParagraphFont"/>
    <w:link w:val="Heading6"/>
    <w:rsid w:val="00690B72"/>
    <w:rPr>
      <w:rFonts w:ascii="Arial" w:eastAsia="Times New Roman" w:hAnsi="Arial" w:cs="Times New Roman"/>
      <w:i/>
      <w:szCs w:val="20"/>
    </w:rPr>
  </w:style>
  <w:style w:type="character" w:customStyle="1" w:styleId="Heading7Char">
    <w:name w:val="Heading 7 Char"/>
    <w:basedOn w:val="DefaultParagraphFont"/>
    <w:link w:val="Heading7"/>
    <w:rsid w:val="00690B72"/>
    <w:rPr>
      <w:rFonts w:ascii="Arial" w:eastAsia="Times New Roman" w:hAnsi="Arial" w:cs="Times New Roman"/>
      <w:sz w:val="20"/>
      <w:szCs w:val="20"/>
    </w:rPr>
  </w:style>
  <w:style w:type="character" w:customStyle="1" w:styleId="Heading8Char">
    <w:name w:val="Heading 8 Char"/>
    <w:basedOn w:val="DefaultParagraphFont"/>
    <w:link w:val="Heading8"/>
    <w:rsid w:val="00690B72"/>
    <w:rPr>
      <w:rFonts w:ascii="Arial" w:eastAsia="Times New Roman" w:hAnsi="Arial" w:cs="Times New Roman"/>
      <w:i/>
      <w:sz w:val="20"/>
      <w:szCs w:val="20"/>
    </w:rPr>
  </w:style>
  <w:style w:type="character" w:customStyle="1" w:styleId="Heading9Char">
    <w:name w:val="Heading 9 Char"/>
    <w:basedOn w:val="DefaultParagraphFont"/>
    <w:link w:val="Heading9"/>
    <w:rsid w:val="00690B72"/>
    <w:rPr>
      <w:rFonts w:ascii="Arial" w:eastAsia="Times New Roman" w:hAnsi="Arial" w:cs="Times New Roman"/>
      <w:i/>
      <w:szCs w:val="20"/>
    </w:rPr>
  </w:style>
  <w:style w:type="paragraph" w:customStyle="1" w:styleId="Firstparagraph">
    <w:name w:val="First paragraph"/>
    <w:basedOn w:val="Normal"/>
    <w:next w:val="Normal"/>
    <w:link w:val="FirstparagraphChar"/>
    <w:rsid w:val="00690B72"/>
    <w:pPr>
      <w:tabs>
        <w:tab w:val="left" w:pos="4706"/>
      </w:tabs>
      <w:ind w:firstLine="0"/>
    </w:pPr>
  </w:style>
  <w:style w:type="paragraph" w:customStyle="1" w:styleId="Papertitle">
    <w:name w:val="Paper title"/>
    <w:basedOn w:val="Firstparagraph"/>
    <w:next w:val="Firstparagraph"/>
    <w:rsid w:val="00690B72"/>
    <w:pPr>
      <w:suppressAutoHyphens/>
      <w:spacing w:after="360" w:line="360" w:lineRule="exact"/>
      <w:jc w:val="left"/>
    </w:pPr>
    <w:rPr>
      <w:sz w:val="32"/>
    </w:rPr>
  </w:style>
  <w:style w:type="paragraph" w:customStyle="1" w:styleId="Author">
    <w:name w:val="Author"/>
    <w:basedOn w:val="Firstparagraph"/>
    <w:next w:val="Affiliation"/>
    <w:rsid w:val="00690B72"/>
    <w:pPr>
      <w:suppressAutoHyphens/>
      <w:spacing w:line="280" w:lineRule="exact"/>
    </w:pPr>
    <w:rPr>
      <w:sz w:val="24"/>
    </w:rPr>
  </w:style>
  <w:style w:type="paragraph" w:customStyle="1" w:styleId="Affiliation">
    <w:name w:val="Affiliation"/>
    <w:basedOn w:val="Author"/>
    <w:next w:val="Author"/>
    <w:rsid w:val="00690B72"/>
    <w:pPr>
      <w:spacing w:after="120" w:line="220" w:lineRule="exact"/>
    </w:pPr>
    <w:rPr>
      <w:i/>
      <w:sz w:val="20"/>
    </w:rPr>
  </w:style>
  <w:style w:type="paragraph" w:customStyle="1" w:styleId="Abstract">
    <w:name w:val="Abstract"/>
    <w:basedOn w:val="Normal"/>
    <w:next w:val="Firstparagraph"/>
    <w:rsid w:val="00690B72"/>
    <w:pPr>
      <w:framePr w:w="9696" w:hSpace="142" w:wrap="notBeside" w:vAnchor="page" w:hAnchor="margin" w:y="4083" w:anchorLock="1"/>
      <w:spacing w:after="480"/>
      <w:ind w:firstLine="0"/>
    </w:pPr>
  </w:style>
  <w:style w:type="paragraph" w:styleId="Header">
    <w:name w:val="header"/>
    <w:basedOn w:val="Normal"/>
    <w:link w:val="HeaderChar"/>
    <w:rsid w:val="00690B72"/>
    <w:pPr>
      <w:tabs>
        <w:tab w:val="center" w:pos="4536"/>
        <w:tab w:val="right" w:pos="9072"/>
      </w:tabs>
    </w:pPr>
  </w:style>
  <w:style w:type="character" w:customStyle="1" w:styleId="HeaderChar">
    <w:name w:val="Header Char"/>
    <w:basedOn w:val="DefaultParagraphFont"/>
    <w:link w:val="Header"/>
    <w:rsid w:val="00690B72"/>
    <w:rPr>
      <w:rFonts w:ascii="Times New Roman" w:eastAsia="Times New Roman" w:hAnsi="Times New Roman" w:cs="Times New Roman"/>
      <w:szCs w:val="20"/>
    </w:rPr>
  </w:style>
  <w:style w:type="paragraph" w:customStyle="1" w:styleId="Paragraphafterheading">
    <w:name w:val="Paragraph after heading"/>
    <w:basedOn w:val="Normal"/>
    <w:next w:val="Normal"/>
    <w:rsid w:val="00690B72"/>
    <w:pPr>
      <w:ind w:firstLine="0"/>
    </w:pPr>
  </w:style>
  <w:style w:type="paragraph" w:customStyle="1" w:styleId="Referencetext">
    <w:name w:val="Reference text"/>
    <w:basedOn w:val="Normal"/>
    <w:rsid w:val="00690B72"/>
    <w:pPr>
      <w:spacing w:line="220" w:lineRule="exact"/>
      <w:ind w:left="230" w:hanging="230"/>
    </w:pPr>
    <w:rPr>
      <w:sz w:val="20"/>
    </w:rPr>
  </w:style>
  <w:style w:type="paragraph" w:customStyle="1" w:styleId="Figure">
    <w:name w:val="Figure"/>
    <w:basedOn w:val="Firstparagraph"/>
    <w:next w:val="Figurecaption"/>
    <w:rsid w:val="00690B72"/>
    <w:pPr>
      <w:spacing w:line="240" w:lineRule="auto"/>
    </w:pPr>
  </w:style>
  <w:style w:type="paragraph" w:customStyle="1" w:styleId="Figurecaption">
    <w:name w:val="Figure caption"/>
    <w:basedOn w:val="Normal"/>
    <w:next w:val="Normal"/>
    <w:rsid w:val="00690B72"/>
    <w:pPr>
      <w:spacing w:line="220" w:lineRule="exact"/>
      <w:ind w:firstLine="0"/>
    </w:pPr>
    <w:rPr>
      <w:sz w:val="20"/>
    </w:rPr>
  </w:style>
  <w:style w:type="paragraph" w:customStyle="1" w:styleId="Tablecaption">
    <w:name w:val="Table caption"/>
    <w:basedOn w:val="Normal"/>
    <w:next w:val="Tablerule"/>
    <w:rsid w:val="00690B72"/>
    <w:pPr>
      <w:spacing w:line="220" w:lineRule="exact"/>
      <w:ind w:firstLine="0"/>
    </w:pPr>
    <w:rPr>
      <w:sz w:val="20"/>
    </w:rPr>
  </w:style>
  <w:style w:type="paragraph" w:customStyle="1" w:styleId="Tablerule">
    <w:name w:val="Table rule"/>
    <w:basedOn w:val="Normal"/>
    <w:next w:val="Tabletext"/>
    <w:rsid w:val="00690B72"/>
    <w:pPr>
      <w:spacing w:after="60" w:line="40" w:lineRule="exact"/>
      <w:ind w:firstLine="0"/>
      <w:jc w:val="left"/>
    </w:pPr>
    <w:rPr>
      <w:sz w:val="16"/>
    </w:rPr>
  </w:style>
  <w:style w:type="paragraph" w:customStyle="1" w:styleId="Tabletext">
    <w:name w:val="Table text"/>
    <w:basedOn w:val="Normal"/>
    <w:rsid w:val="00690B72"/>
    <w:pPr>
      <w:spacing w:line="220" w:lineRule="exact"/>
      <w:ind w:firstLine="0"/>
      <w:jc w:val="left"/>
    </w:pPr>
    <w:rPr>
      <w:sz w:val="20"/>
    </w:rPr>
  </w:style>
  <w:style w:type="paragraph" w:customStyle="1" w:styleId="formula">
    <w:name w:val="formula"/>
    <w:basedOn w:val="Normal"/>
    <w:next w:val="Normal"/>
    <w:rsid w:val="00690B72"/>
    <w:pPr>
      <w:tabs>
        <w:tab w:val="right" w:pos="8505"/>
      </w:tabs>
      <w:spacing w:before="100" w:after="100" w:line="240" w:lineRule="auto"/>
      <w:ind w:left="851" w:firstLine="0"/>
      <w:jc w:val="left"/>
    </w:pPr>
  </w:style>
  <w:style w:type="paragraph" w:styleId="BodyTextIndent">
    <w:name w:val="Body Text Indent"/>
    <w:basedOn w:val="Normal"/>
    <w:link w:val="BodyTextIndentChar"/>
    <w:rsid w:val="00690B72"/>
    <w:pPr>
      <w:widowControl w:val="0"/>
      <w:spacing w:line="-240" w:lineRule="auto"/>
    </w:pPr>
    <w:rPr>
      <w:b/>
      <w:bCs/>
    </w:rPr>
  </w:style>
  <w:style w:type="character" w:customStyle="1" w:styleId="BodyTextIndentChar">
    <w:name w:val="Body Text Indent Char"/>
    <w:basedOn w:val="DefaultParagraphFont"/>
    <w:link w:val="BodyTextIndent"/>
    <w:rsid w:val="00690B72"/>
    <w:rPr>
      <w:rFonts w:ascii="Times New Roman" w:eastAsia="Times New Roman" w:hAnsi="Times New Roman" w:cs="Times New Roman"/>
      <w:b/>
      <w:bCs/>
      <w:szCs w:val="20"/>
    </w:rPr>
  </w:style>
  <w:style w:type="character" w:customStyle="1" w:styleId="FirstparagraphChar">
    <w:name w:val="First paragraph Char"/>
    <w:link w:val="Firstparagraph"/>
    <w:rsid w:val="00690B72"/>
    <w:rPr>
      <w:rFonts w:ascii="Times New Roman" w:eastAsia="Times New Roman" w:hAnsi="Times New Roman" w:cs="Times New Roman"/>
      <w:szCs w:val="20"/>
    </w:rPr>
  </w:style>
  <w:style w:type="paragraph" w:styleId="Footer">
    <w:name w:val="footer"/>
    <w:basedOn w:val="Normal"/>
    <w:link w:val="FooterChar"/>
    <w:unhideWhenUsed/>
    <w:rsid w:val="00690B72"/>
    <w:pPr>
      <w:tabs>
        <w:tab w:val="center" w:pos="4513"/>
        <w:tab w:val="right" w:pos="9026"/>
      </w:tabs>
      <w:spacing w:line="240" w:lineRule="auto"/>
    </w:pPr>
  </w:style>
  <w:style w:type="character" w:customStyle="1" w:styleId="FooterChar">
    <w:name w:val="Footer Char"/>
    <w:basedOn w:val="DefaultParagraphFont"/>
    <w:link w:val="Footer"/>
    <w:rsid w:val="00690B72"/>
    <w:rPr>
      <w:rFonts w:ascii="Times New Roman" w:eastAsia="Times New Roman" w:hAnsi="Times New Roman" w:cs="Times New Roman"/>
      <w:szCs w:val="20"/>
    </w:rPr>
  </w:style>
  <w:style w:type="character" w:styleId="Hyperlink">
    <w:name w:val="Hyperlink"/>
    <w:basedOn w:val="DefaultParagraphFont"/>
    <w:uiPriority w:val="99"/>
    <w:semiHidden/>
    <w:unhideWhenUsed/>
    <w:rsid w:val="00690B72"/>
    <w:rPr>
      <w:color w:val="0000FF"/>
      <w:u w:val="single"/>
    </w:rPr>
  </w:style>
  <w:style w:type="character" w:customStyle="1" w:styleId="ListParagraphChar">
    <w:name w:val="List Paragraph Char"/>
    <w:link w:val="ListParagraph"/>
    <w:uiPriority w:val="34"/>
    <w:qFormat/>
    <w:locked/>
    <w:rsid w:val="00690B72"/>
    <w:rPr>
      <w:rFonts w:ascii="Times New Roman" w:eastAsia="Times New Roman" w:hAnsi="Times New Roman" w:cs="Times New Roman"/>
    </w:rPr>
  </w:style>
  <w:style w:type="paragraph" w:styleId="ListParagraph">
    <w:name w:val="List Paragraph"/>
    <w:basedOn w:val="Normal"/>
    <w:link w:val="ListParagraphChar"/>
    <w:uiPriority w:val="34"/>
    <w:qFormat/>
    <w:rsid w:val="00690B72"/>
    <w:pPr>
      <w:widowControl w:val="0"/>
      <w:overflowPunct/>
      <w:adjustRightInd/>
      <w:spacing w:before="10" w:after="160" w:line="256" w:lineRule="auto"/>
      <w:ind w:left="908" w:hanging="360"/>
      <w:jc w:val="left"/>
      <w:textAlignment w:val="auto"/>
    </w:pPr>
    <w:rPr>
      <w:szCs w:val="22"/>
    </w:rPr>
  </w:style>
  <w:style w:type="table" w:customStyle="1" w:styleId="LightList-Accent113">
    <w:name w:val="Light List - Accent 113"/>
    <w:basedOn w:val="TableNormal"/>
    <w:uiPriority w:val="61"/>
    <w:qFormat/>
    <w:rsid w:val="00690B72"/>
    <w:pPr>
      <w:spacing w:after="200" w:line="276" w:lineRule="auto"/>
    </w:pPr>
    <w:rPr>
      <w:rFonts w:ascii="Calibri" w:eastAsia="Calibri" w:hAnsi="Calibri" w:cs="Times New Roman"/>
      <w:sz w:val="20"/>
      <w:szCs w:val="20"/>
      <w:lang w:val="en-GB" w:eastAsia="en-GB"/>
    </w:rPr>
    <w:tblPr>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List-Accent5111">
    <w:name w:val="Light List - Accent 5111"/>
    <w:basedOn w:val="TableNormal"/>
    <w:uiPriority w:val="61"/>
    <w:qFormat/>
    <w:rsid w:val="00690B72"/>
    <w:pPr>
      <w:spacing w:after="200" w:line="276" w:lineRule="auto"/>
    </w:pPr>
    <w:rPr>
      <w:rFonts w:ascii="Calibri" w:eastAsia="Calibri" w:hAnsi="Calibri" w:cs="Times New Roman"/>
      <w:sz w:val="20"/>
      <w:szCs w:val="20"/>
      <w:lang w:val="en-GB" w:eastAsia="en-GB"/>
    </w:rPr>
    <w:tblPr>
      <w:tblInd w:w="0" w:type="nil"/>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5"/>
      </w:tcPr>
    </w:tblStylePr>
    <w:tblStylePr w:type="lastRow">
      <w:pPr>
        <w:spacing w:beforeLines="0" w:before="0" w:beforeAutospacing="0" w:afterLines="0" w:after="0" w:afterAutospacing="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5937">
      <w:bodyDiv w:val="1"/>
      <w:marLeft w:val="0"/>
      <w:marRight w:val="0"/>
      <w:marTop w:val="0"/>
      <w:marBottom w:val="0"/>
      <w:divBdr>
        <w:top w:val="none" w:sz="0" w:space="0" w:color="auto"/>
        <w:left w:val="none" w:sz="0" w:space="0" w:color="auto"/>
        <w:bottom w:val="none" w:sz="0" w:space="0" w:color="auto"/>
        <w:right w:val="none" w:sz="0" w:space="0" w:color="auto"/>
      </w:divBdr>
    </w:div>
    <w:div w:id="649795546">
      <w:bodyDiv w:val="1"/>
      <w:marLeft w:val="0"/>
      <w:marRight w:val="0"/>
      <w:marTop w:val="0"/>
      <w:marBottom w:val="0"/>
      <w:divBdr>
        <w:top w:val="none" w:sz="0" w:space="0" w:color="auto"/>
        <w:left w:val="none" w:sz="0" w:space="0" w:color="auto"/>
        <w:bottom w:val="none" w:sz="0" w:space="0" w:color="auto"/>
        <w:right w:val="none" w:sz="0" w:space="0" w:color="auto"/>
      </w:divBdr>
    </w:div>
    <w:div w:id="1375235205">
      <w:bodyDiv w:val="1"/>
      <w:marLeft w:val="0"/>
      <w:marRight w:val="0"/>
      <w:marTop w:val="0"/>
      <w:marBottom w:val="0"/>
      <w:divBdr>
        <w:top w:val="none" w:sz="0" w:space="0" w:color="auto"/>
        <w:left w:val="none" w:sz="0" w:space="0" w:color="auto"/>
        <w:bottom w:val="none" w:sz="0" w:space="0" w:color="auto"/>
        <w:right w:val="none" w:sz="0" w:space="0" w:color="auto"/>
      </w:divBdr>
    </w:div>
    <w:div w:id="1562868890">
      <w:bodyDiv w:val="1"/>
      <w:marLeft w:val="0"/>
      <w:marRight w:val="0"/>
      <w:marTop w:val="0"/>
      <w:marBottom w:val="0"/>
      <w:divBdr>
        <w:top w:val="none" w:sz="0" w:space="0" w:color="auto"/>
        <w:left w:val="none" w:sz="0" w:space="0" w:color="auto"/>
        <w:bottom w:val="none" w:sz="0" w:space="0" w:color="auto"/>
        <w:right w:val="none" w:sz="0" w:space="0" w:color="auto"/>
      </w:divBdr>
    </w:div>
    <w:div w:id="178592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Anugrah</dc:creator>
  <cp:keywords/>
  <dc:description/>
  <cp:lastModifiedBy>rizka zulfikar</cp:lastModifiedBy>
  <cp:revision>4</cp:revision>
  <dcterms:created xsi:type="dcterms:W3CDTF">2019-08-30T13:20:00Z</dcterms:created>
  <dcterms:modified xsi:type="dcterms:W3CDTF">2019-09-04T11:04:00Z</dcterms:modified>
</cp:coreProperties>
</file>